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9BD">
      <w:pPr>
        <w:rPr>
          <w:highlight w:val="none"/>
        </w:rPr>
      </w:pPr>
    </w:p>
    <w:p w14:paraId="2CF7852D">
      <w:pPr>
        <w:rPr>
          <w:highlight w:val="none"/>
        </w:rPr>
      </w:pPr>
    </w:p>
    <w:p w14:paraId="15252E27">
      <w:pPr>
        <w:rPr>
          <w:highlight w:val="none"/>
        </w:rPr>
      </w:pPr>
    </w:p>
    <w:p w14:paraId="0B2AF9C3">
      <w:pPr>
        <w:rPr>
          <w:highlight w:val="none"/>
        </w:rPr>
      </w:pPr>
    </w:p>
    <w:p w14:paraId="170F025B">
      <w:pPr>
        <w:jc w:val="center"/>
        <w:rPr>
          <w:sz w:val="48"/>
          <w:szCs w:val="44"/>
          <w:highlight w:val="none"/>
        </w:rPr>
      </w:pPr>
      <w:r>
        <w:rPr>
          <w:rFonts w:hint="eastAsia"/>
          <w:sz w:val="48"/>
          <w:szCs w:val="44"/>
          <w:highlight w:val="none"/>
        </w:rPr>
        <w:t>项目名称</w:t>
      </w:r>
    </w:p>
    <w:p w14:paraId="1328E9DE">
      <w:pPr>
        <w:jc w:val="center"/>
        <w:rPr>
          <w:sz w:val="48"/>
          <w:szCs w:val="44"/>
          <w:highlight w:val="none"/>
        </w:rPr>
      </w:pPr>
      <w:r>
        <w:rPr>
          <w:rFonts w:hint="eastAsia"/>
          <w:sz w:val="48"/>
          <w:szCs w:val="44"/>
          <w:highlight w:val="none"/>
        </w:rPr>
        <w:t>合同</w:t>
      </w:r>
    </w:p>
    <w:p w14:paraId="0ED4FFAB">
      <w:pPr>
        <w:jc w:val="center"/>
        <w:rPr>
          <w:sz w:val="56"/>
          <w:highlight w:val="none"/>
        </w:rPr>
      </w:pPr>
    </w:p>
    <w:p w14:paraId="58187FEB">
      <w:pPr>
        <w:jc w:val="center"/>
        <w:rPr>
          <w:sz w:val="56"/>
          <w:highlight w:val="none"/>
        </w:rPr>
      </w:pPr>
    </w:p>
    <w:p w14:paraId="30A73BCF">
      <w:pPr>
        <w:jc w:val="center"/>
        <w:rPr>
          <w:sz w:val="56"/>
          <w:highlight w:val="none"/>
        </w:rPr>
      </w:pPr>
    </w:p>
    <w:p w14:paraId="619AB573">
      <w:pPr>
        <w:jc w:val="center"/>
        <w:rPr>
          <w:sz w:val="56"/>
          <w:highlight w:val="none"/>
        </w:rPr>
      </w:pPr>
    </w:p>
    <w:p w14:paraId="0D87D83F">
      <w:pPr>
        <w:spacing w:line="360" w:lineRule="auto"/>
        <w:ind w:firstLine="840" w:firstLineChars="300"/>
        <w:rPr>
          <w:rFonts w:ascii="宋体" w:hAnsi="宋体"/>
          <w:sz w:val="28"/>
          <w:szCs w:val="24"/>
          <w:highlight w:val="none"/>
        </w:rPr>
      </w:pPr>
      <w:r>
        <w:rPr>
          <w:rFonts w:hint="eastAsia"/>
          <w:sz w:val="28"/>
          <w:szCs w:val="24"/>
          <w:highlight w:val="none"/>
        </w:rPr>
        <w:t>项目名称：</w:t>
      </w:r>
      <w:r>
        <w:rPr>
          <w:rFonts w:hint="eastAsia" w:ascii="宋体" w:hAnsi="宋体"/>
          <w:sz w:val="28"/>
          <w:szCs w:val="24"/>
          <w:highlight w:val="none"/>
        </w:rPr>
        <w:t xml:space="preserve"> </w:t>
      </w:r>
    </w:p>
    <w:p w14:paraId="27A41DED">
      <w:pPr>
        <w:spacing w:line="360" w:lineRule="auto"/>
        <w:ind w:firstLine="840" w:firstLineChars="300"/>
        <w:rPr>
          <w:rFonts w:hint="eastAsia"/>
          <w:sz w:val="28"/>
          <w:szCs w:val="24"/>
          <w:highlight w:val="none"/>
        </w:rPr>
      </w:pPr>
      <w:r>
        <w:rPr>
          <w:rFonts w:hint="eastAsia"/>
          <w:sz w:val="28"/>
          <w:szCs w:val="24"/>
          <w:highlight w:val="none"/>
        </w:rPr>
        <w:t>甲方：南京航空航天大学</w:t>
      </w:r>
    </w:p>
    <w:p w14:paraId="323FC2DC">
      <w:pPr>
        <w:spacing w:line="360" w:lineRule="auto"/>
        <w:ind w:firstLine="840" w:firstLineChars="300"/>
        <w:rPr>
          <w:sz w:val="28"/>
          <w:szCs w:val="24"/>
          <w:highlight w:val="none"/>
        </w:rPr>
      </w:pPr>
      <w:r>
        <w:rPr>
          <w:rFonts w:hint="eastAsia"/>
          <w:sz w:val="28"/>
          <w:szCs w:val="24"/>
          <w:highlight w:val="none"/>
        </w:rPr>
        <w:t xml:space="preserve">乙方：                </w:t>
      </w:r>
    </w:p>
    <w:p w14:paraId="3BF4E101">
      <w:pPr>
        <w:rPr>
          <w:highlight w:val="none"/>
        </w:rPr>
      </w:pPr>
    </w:p>
    <w:p w14:paraId="6ED99C60">
      <w:pPr>
        <w:rPr>
          <w:highlight w:val="none"/>
        </w:rPr>
      </w:pPr>
    </w:p>
    <w:p w14:paraId="780A4EDA">
      <w:pPr>
        <w:rPr>
          <w:highlight w:val="none"/>
        </w:rPr>
      </w:pPr>
    </w:p>
    <w:p w14:paraId="40C29D1E">
      <w:pPr>
        <w:rPr>
          <w:highlight w:val="none"/>
        </w:rPr>
      </w:pPr>
    </w:p>
    <w:p w14:paraId="768603A9">
      <w:pPr>
        <w:rPr>
          <w:highlight w:val="none"/>
        </w:rPr>
      </w:pPr>
    </w:p>
    <w:p w14:paraId="67C15572">
      <w:pPr>
        <w:rPr>
          <w:highlight w:val="none"/>
        </w:rPr>
      </w:pPr>
    </w:p>
    <w:p w14:paraId="7901B2EB">
      <w:pPr>
        <w:rPr>
          <w:highlight w:val="none"/>
        </w:rPr>
      </w:pPr>
    </w:p>
    <w:p w14:paraId="406C2C20">
      <w:pPr>
        <w:rPr>
          <w:highlight w:val="none"/>
        </w:rPr>
      </w:pPr>
    </w:p>
    <w:p w14:paraId="499D3EE1">
      <w:pPr>
        <w:rPr>
          <w:highlight w:val="none"/>
        </w:rPr>
      </w:pPr>
    </w:p>
    <w:p w14:paraId="3750748E">
      <w:pPr>
        <w:rPr>
          <w:highlight w:val="none"/>
        </w:rPr>
      </w:pPr>
    </w:p>
    <w:p w14:paraId="3A520242">
      <w:pPr>
        <w:rPr>
          <w:highlight w:val="none"/>
        </w:rPr>
      </w:pPr>
    </w:p>
    <w:p w14:paraId="5106FD65">
      <w:pPr>
        <w:rPr>
          <w:highlight w:val="none"/>
        </w:rPr>
      </w:pPr>
    </w:p>
    <w:p w14:paraId="0FE2B333">
      <w:pPr>
        <w:ind w:firstLine="2880" w:firstLineChars="900"/>
        <w:jc w:val="left"/>
        <w:rPr>
          <w:sz w:val="32"/>
          <w:highlight w:val="none"/>
        </w:rPr>
      </w:pPr>
      <w:r>
        <w:rPr>
          <w:rFonts w:hint="eastAsia"/>
          <w:sz w:val="32"/>
          <w:highlight w:val="none"/>
        </w:rPr>
        <w:t>二O一   年   月</w:t>
      </w:r>
    </w:p>
    <w:p w14:paraId="7D25B164">
      <w:pPr>
        <w:widowControl/>
        <w:jc w:val="left"/>
        <w:rPr>
          <w:rFonts w:ascii="宋体" w:hAnsi="宋体"/>
          <w:b/>
          <w:bCs/>
          <w:kern w:val="44"/>
          <w:sz w:val="32"/>
          <w:szCs w:val="44"/>
          <w:highlight w:val="none"/>
        </w:rPr>
      </w:pPr>
      <w:r>
        <w:rPr>
          <w:rFonts w:ascii="宋体" w:hAnsi="宋体"/>
          <w:sz w:val="32"/>
          <w:highlight w:val="none"/>
        </w:rPr>
        <w:br w:type="page"/>
      </w:r>
    </w:p>
    <w:p w14:paraId="77E2B8D8">
      <w:pPr>
        <w:pStyle w:val="2"/>
        <w:spacing w:line="440" w:lineRule="exact"/>
        <w:jc w:val="center"/>
        <w:rPr>
          <w:rFonts w:ascii="宋体" w:hAnsi="宋体"/>
          <w:sz w:val="32"/>
          <w:highlight w:val="none"/>
        </w:rPr>
      </w:pPr>
      <w:r>
        <w:rPr>
          <w:rFonts w:hint="eastAsia" w:ascii="宋体" w:hAnsi="宋体"/>
          <w:sz w:val="32"/>
          <w:highlight w:val="none"/>
        </w:rPr>
        <w:t>第一部分合同专用条款</w:t>
      </w:r>
    </w:p>
    <w:p w14:paraId="16D18948">
      <w:pPr>
        <w:widowControl/>
        <w:snapToGrid w:val="0"/>
        <w:spacing w:line="520" w:lineRule="exact"/>
        <w:rPr>
          <w:rFonts w:ascii="宋体" w:hAnsi="宋体"/>
          <w:b/>
          <w:sz w:val="24"/>
          <w:szCs w:val="28"/>
          <w:highlight w:val="none"/>
          <w:u w:val="single"/>
        </w:rPr>
      </w:pPr>
      <w:r>
        <w:rPr>
          <w:rFonts w:hint="eastAsia" w:ascii="宋体" w:hAnsi="宋体"/>
          <w:sz w:val="24"/>
          <w:szCs w:val="28"/>
          <w:highlight w:val="none"/>
        </w:rPr>
        <w:t>甲方: 南京航空航天大学</w:t>
      </w:r>
    </w:p>
    <w:p w14:paraId="4DAEC17D">
      <w:pPr>
        <w:widowControl/>
        <w:snapToGrid w:val="0"/>
        <w:spacing w:line="520" w:lineRule="exact"/>
        <w:rPr>
          <w:rFonts w:ascii="宋体" w:hAnsi="宋体"/>
          <w:sz w:val="24"/>
          <w:szCs w:val="28"/>
          <w:highlight w:val="none"/>
          <w:u w:val="single"/>
        </w:rPr>
      </w:pPr>
      <w:r>
        <w:rPr>
          <w:rFonts w:hint="eastAsia" w:ascii="宋体" w:hAnsi="宋体"/>
          <w:sz w:val="24"/>
          <w:szCs w:val="28"/>
          <w:highlight w:val="none"/>
        </w:rPr>
        <w:t>乙方:</w:t>
      </w:r>
      <w:r>
        <w:rPr>
          <w:rFonts w:hint="eastAsia" w:ascii="宋体" w:hAnsi="宋体"/>
          <w:sz w:val="24"/>
          <w:szCs w:val="28"/>
          <w:highlight w:val="none"/>
          <w:u w:val="single"/>
        </w:rPr>
        <w:t xml:space="preserve">                            </w:t>
      </w:r>
    </w:p>
    <w:p w14:paraId="2B58A663">
      <w:pPr>
        <w:widowControl/>
        <w:snapToGrid w:val="0"/>
        <w:spacing w:line="440" w:lineRule="exact"/>
        <w:ind w:left="2100" w:leftChars="200" w:hanging="1680" w:hangingChars="700"/>
        <w:rPr>
          <w:rFonts w:ascii="宋体" w:hAnsi="宋体"/>
          <w:sz w:val="24"/>
          <w:szCs w:val="28"/>
          <w:highlight w:val="none"/>
          <w:u w:val="single"/>
        </w:rPr>
      </w:pPr>
      <w:r>
        <w:rPr>
          <w:rFonts w:hint="eastAsia" w:ascii="宋体" w:hAnsi="宋体"/>
          <w:sz w:val="24"/>
          <w:szCs w:val="28"/>
          <w:highlight w:val="none"/>
        </w:rPr>
        <w:t>甲乙双方根据</w:t>
      </w:r>
      <w:r>
        <w:rPr>
          <w:rFonts w:hint="eastAsia" w:ascii="宋体" w:hAnsi="宋体"/>
          <w:sz w:val="24"/>
          <w:szCs w:val="28"/>
          <w:highlight w:val="none"/>
          <w:u w:val="single"/>
        </w:rPr>
        <w:t xml:space="preserve">                                                       </w:t>
      </w:r>
    </w:p>
    <w:p w14:paraId="384237B8">
      <w:pPr>
        <w:widowControl/>
        <w:snapToGrid w:val="0"/>
        <w:spacing w:line="440" w:lineRule="exact"/>
        <w:rPr>
          <w:rFonts w:ascii="宋体" w:hAnsi="宋体"/>
          <w:sz w:val="24"/>
          <w:szCs w:val="28"/>
          <w:highlight w:val="none"/>
        </w:rPr>
      </w:pPr>
      <w:r>
        <w:rPr>
          <w:rFonts w:hint="eastAsia" w:ascii="宋体" w:hAnsi="宋体"/>
          <w:sz w:val="24"/>
          <w:szCs w:val="28"/>
          <w:highlight w:val="none"/>
          <w:u w:val="single"/>
        </w:rPr>
        <w:t xml:space="preserve">                         </w:t>
      </w:r>
      <w:r>
        <w:rPr>
          <w:rFonts w:hint="eastAsia" w:ascii="宋体" w:hAnsi="宋体"/>
          <w:sz w:val="24"/>
          <w:szCs w:val="28"/>
          <w:highlight w:val="none"/>
        </w:rPr>
        <w:t>项目（采购编号</w:t>
      </w:r>
      <w:r>
        <w:rPr>
          <w:rFonts w:hint="eastAsia" w:ascii="宋体" w:hAnsi="宋体"/>
          <w:sz w:val="24"/>
          <w:szCs w:val="28"/>
          <w:highlight w:val="none"/>
          <w:u w:val="single"/>
        </w:rPr>
        <w:t xml:space="preserve">                </w:t>
      </w:r>
      <w:r>
        <w:rPr>
          <w:rFonts w:hint="eastAsia" w:ascii="宋体" w:hAnsi="宋体"/>
          <w:sz w:val="24"/>
          <w:szCs w:val="28"/>
          <w:highlight w:val="none"/>
        </w:rPr>
        <w:t>）采购结果及采购文件的要求,经协商一致,达成如下货物购销合同:</w:t>
      </w:r>
    </w:p>
    <w:p w14:paraId="52FF4959">
      <w:pPr>
        <w:widowControl/>
        <w:snapToGrid w:val="0"/>
        <w:spacing w:line="52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hint="eastAsia" w:ascii="宋体" w:hAnsi="宋体"/>
          <w:b/>
          <w:bCs/>
          <w:sz w:val="24"/>
          <w:szCs w:val="24"/>
          <w:highlight w:val="none"/>
        </w:rPr>
        <w:t>货物及其数量、金额等</w:t>
      </w:r>
    </w:p>
    <w:tbl>
      <w:tblPr>
        <w:tblStyle w:val="9"/>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568"/>
        <w:gridCol w:w="4032"/>
        <w:gridCol w:w="1418"/>
        <w:gridCol w:w="567"/>
        <w:gridCol w:w="1417"/>
        <w:gridCol w:w="1672"/>
      </w:tblGrid>
      <w:tr w14:paraId="5997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08172728">
            <w:pPr>
              <w:jc w:val="center"/>
              <w:rPr>
                <w:rFonts w:ascii="宋体" w:hAnsi="宋体"/>
                <w:sz w:val="24"/>
                <w:szCs w:val="24"/>
                <w:highlight w:val="none"/>
              </w:rPr>
            </w:pPr>
            <w:r>
              <w:rPr>
                <w:rFonts w:hint="eastAsia" w:ascii="宋体" w:hAnsi="宋体"/>
                <w:sz w:val="24"/>
                <w:szCs w:val="24"/>
                <w:highlight w:val="none"/>
              </w:rPr>
              <w:t>序号</w:t>
            </w:r>
          </w:p>
        </w:tc>
        <w:tc>
          <w:tcPr>
            <w:tcW w:w="4600" w:type="dxa"/>
            <w:gridSpan w:val="2"/>
            <w:vAlign w:val="center"/>
          </w:tcPr>
          <w:p w14:paraId="6D5062DD">
            <w:pPr>
              <w:jc w:val="center"/>
              <w:rPr>
                <w:rFonts w:ascii="宋体" w:hAnsi="宋体"/>
                <w:sz w:val="24"/>
                <w:szCs w:val="24"/>
                <w:highlight w:val="none"/>
              </w:rPr>
            </w:pPr>
            <w:r>
              <w:rPr>
                <w:rFonts w:hint="eastAsia" w:ascii="宋体" w:hAnsi="宋体"/>
                <w:sz w:val="24"/>
                <w:szCs w:val="24"/>
                <w:highlight w:val="none"/>
              </w:rPr>
              <w:t>采购货物名称</w:t>
            </w:r>
          </w:p>
        </w:tc>
        <w:tc>
          <w:tcPr>
            <w:tcW w:w="1418" w:type="dxa"/>
            <w:vAlign w:val="center"/>
          </w:tcPr>
          <w:p w14:paraId="4EB10ABA">
            <w:pPr>
              <w:jc w:val="center"/>
              <w:rPr>
                <w:rFonts w:ascii="宋体" w:hAnsi="宋体"/>
                <w:sz w:val="24"/>
                <w:szCs w:val="24"/>
                <w:highlight w:val="none"/>
              </w:rPr>
            </w:pPr>
            <w:r>
              <w:rPr>
                <w:rFonts w:hint="eastAsia" w:ascii="宋体" w:hAnsi="宋体"/>
                <w:sz w:val="24"/>
                <w:szCs w:val="24"/>
                <w:highlight w:val="none"/>
              </w:rPr>
              <w:t>规格型号</w:t>
            </w:r>
          </w:p>
        </w:tc>
        <w:tc>
          <w:tcPr>
            <w:tcW w:w="567" w:type="dxa"/>
            <w:vAlign w:val="center"/>
          </w:tcPr>
          <w:p w14:paraId="150C88C4">
            <w:pPr>
              <w:ind w:firstLine="26" w:firstLineChars="11"/>
              <w:jc w:val="center"/>
              <w:rPr>
                <w:rFonts w:ascii="宋体" w:hAnsi="宋体"/>
                <w:sz w:val="24"/>
                <w:szCs w:val="24"/>
                <w:highlight w:val="none"/>
              </w:rPr>
            </w:pPr>
            <w:r>
              <w:rPr>
                <w:rFonts w:hint="eastAsia" w:ascii="宋体" w:hAnsi="宋体"/>
                <w:sz w:val="24"/>
                <w:szCs w:val="24"/>
                <w:highlight w:val="none"/>
              </w:rPr>
              <w:t>数量</w:t>
            </w:r>
          </w:p>
        </w:tc>
        <w:tc>
          <w:tcPr>
            <w:tcW w:w="1417" w:type="dxa"/>
            <w:vAlign w:val="center"/>
          </w:tcPr>
          <w:p w14:paraId="1118845B">
            <w:pPr>
              <w:ind w:left="-10" w:leftChars="-26" w:hanging="45" w:hangingChars="19"/>
              <w:jc w:val="center"/>
              <w:rPr>
                <w:rFonts w:ascii="宋体" w:hAnsi="宋体"/>
                <w:sz w:val="24"/>
                <w:szCs w:val="24"/>
                <w:highlight w:val="none"/>
              </w:rPr>
            </w:pPr>
            <w:r>
              <w:rPr>
                <w:rFonts w:hint="eastAsia" w:ascii="宋体" w:hAnsi="宋体"/>
                <w:sz w:val="24"/>
                <w:szCs w:val="24"/>
                <w:highlight w:val="none"/>
              </w:rPr>
              <w:t>单价</w:t>
            </w:r>
          </w:p>
        </w:tc>
        <w:tc>
          <w:tcPr>
            <w:tcW w:w="1672" w:type="dxa"/>
            <w:shd w:val="clear" w:color="auto" w:fill="auto"/>
            <w:vAlign w:val="center"/>
          </w:tcPr>
          <w:p w14:paraId="129DE1A8">
            <w:pPr>
              <w:jc w:val="center"/>
              <w:rPr>
                <w:rFonts w:ascii="宋体" w:hAnsi="宋体"/>
                <w:sz w:val="24"/>
                <w:szCs w:val="24"/>
                <w:highlight w:val="none"/>
              </w:rPr>
            </w:pPr>
            <w:r>
              <w:rPr>
                <w:rFonts w:hint="eastAsia" w:ascii="宋体" w:hAnsi="宋体"/>
                <w:sz w:val="24"/>
                <w:szCs w:val="24"/>
                <w:highlight w:val="none"/>
              </w:rPr>
              <w:t>总价</w:t>
            </w:r>
          </w:p>
          <w:p w14:paraId="60F134FE">
            <w:pPr>
              <w:jc w:val="center"/>
              <w:rPr>
                <w:rFonts w:ascii="宋体" w:hAnsi="宋体"/>
                <w:sz w:val="24"/>
                <w:szCs w:val="24"/>
                <w:highlight w:val="none"/>
              </w:rPr>
            </w:pPr>
          </w:p>
        </w:tc>
      </w:tr>
      <w:tr w14:paraId="5EFD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706B9BB3">
            <w:pPr>
              <w:rPr>
                <w:rFonts w:ascii="宋体" w:hAnsi="宋体"/>
                <w:sz w:val="24"/>
                <w:szCs w:val="24"/>
                <w:highlight w:val="none"/>
              </w:rPr>
            </w:pPr>
            <w:bookmarkStart w:id="0" w:name="Ord_Seq_Name"/>
            <w:bookmarkEnd w:id="0"/>
          </w:p>
        </w:tc>
        <w:tc>
          <w:tcPr>
            <w:tcW w:w="4600" w:type="dxa"/>
            <w:gridSpan w:val="2"/>
            <w:vAlign w:val="center"/>
          </w:tcPr>
          <w:p w14:paraId="44963A07">
            <w:pPr>
              <w:jc w:val="left"/>
              <w:rPr>
                <w:rFonts w:ascii="宋体" w:hAnsi="宋体"/>
                <w:color w:val="FF0000"/>
                <w:sz w:val="24"/>
                <w:szCs w:val="24"/>
                <w:highlight w:val="none"/>
              </w:rPr>
            </w:pPr>
          </w:p>
        </w:tc>
        <w:tc>
          <w:tcPr>
            <w:tcW w:w="1418" w:type="dxa"/>
            <w:vAlign w:val="center"/>
          </w:tcPr>
          <w:p w14:paraId="2318F316">
            <w:pPr>
              <w:ind w:firstLine="480" w:firstLineChars="200"/>
              <w:jc w:val="center"/>
              <w:rPr>
                <w:rFonts w:ascii="宋体" w:hAnsi="宋体"/>
                <w:color w:val="FF0000"/>
                <w:sz w:val="24"/>
                <w:szCs w:val="24"/>
                <w:highlight w:val="none"/>
              </w:rPr>
            </w:pPr>
          </w:p>
        </w:tc>
        <w:tc>
          <w:tcPr>
            <w:tcW w:w="567" w:type="dxa"/>
            <w:vAlign w:val="center"/>
          </w:tcPr>
          <w:p w14:paraId="5928ADA1">
            <w:pPr>
              <w:rPr>
                <w:rFonts w:ascii="宋体" w:hAnsi="宋体"/>
                <w:color w:val="FF0000"/>
                <w:sz w:val="24"/>
                <w:szCs w:val="24"/>
                <w:highlight w:val="none"/>
              </w:rPr>
            </w:pPr>
          </w:p>
        </w:tc>
        <w:tc>
          <w:tcPr>
            <w:tcW w:w="1417" w:type="dxa"/>
            <w:vAlign w:val="center"/>
          </w:tcPr>
          <w:p w14:paraId="6724B51A">
            <w:pPr>
              <w:rPr>
                <w:rFonts w:ascii="宋体" w:hAnsi="宋体"/>
                <w:color w:val="FF0000"/>
                <w:sz w:val="24"/>
                <w:szCs w:val="24"/>
                <w:highlight w:val="none"/>
              </w:rPr>
            </w:pPr>
          </w:p>
        </w:tc>
        <w:tc>
          <w:tcPr>
            <w:tcW w:w="1672" w:type="dxa"/>
            <w:shd w:val="clear" w:color="auto" w:fill="auto"/>
            <w:vAlign w:val="center"/>
          </w:tcPr>
          <w:p w14:paraId="4433E2F6">
            <w:pPr>
              <w:rPr>
                <w:rFonts w:ascii="宋体" w:hAnsi="宋体"/>
                <w:bCs/>
                <w:sz w:val="24"/>
                <w:szCs w:val="24"/>
                <w:highlight w:val="none"/>
              </w:rPr>
            </w:pPr>
          </w:p>
        </w:tc>
      </w:tr>
      <w:tr w14:paraId="4429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64" w:type="dxa"/>
            <w:gridSpan w:val="7"/>
            <w:vAlign w:val="center"/>
          </w:tcPr>
          <w:p w14:paraId="30A1A93E">
            <w:pPr>
              <w:ind w:firstLine="480" w:firstLineChars="200"/>
              <w:rPr>
                <w:rFonts w:ascii="宋体" w:hAnsi="宋体"/>
                <w:sz w:val="24"/>
                <w:szCs w:val="24"/>
                <w:highlight w:val="none"/>
              </w:rPr>
            </w:pPr>
            <w:r>
              <w:rPr>
                <w:rFonts w:hint="eastAsia" w:ascii="宋体" w:hAnsi="宋体"/>
                <w:sz w:val="24"/>
                <w:szCs w:val="24"/>
                <w:highlight w:val="none"/>
              </w:rPr>
              <w:t>合同总金额：人民币（大写）:</w:t>
            </w:r>
          </w:p>
          <w:p w14:paraId="1FEA2492">
            <w:pPr>
              <w:ind w:firstLine="480" w:firstLineChars="200"/>
              <w:rPr>
                <w:rFonts w:ascii="宋体" w:hAnsi="宋体"/>
                <w:sz w:val="24"/>
                <w:szCs w:val="24"/>
                <w:highlight w:val="none"/>
                <w:u w:val="single"/>
              </w:rPr>
            </w:pPr>
            <w:r>
              <w:rPr>
                <w:rFonts w:hint="eastAsia" w:ascii="宋体" w:hAnsi="宋体"/>
                <w:sz w:val="24"/>
                <w:szCs w:val="24"/>
                <w:highlight w:val="none"/>
              </w:rPr>
              <w:t xml:space="preserve">                        ￥：</w:t>
            </w:r>
            <w:bookmarkStart w:id="1" w:name="Ppp_Amt_1"/>
            <w:bookmarkEnd w:id="1"/>
          </w:p>
        </w:tc>
      </w:tr>
      <w:tr w14:paraId="0425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gridSpan w:val="2"/>
            <w:vAlign w:val="center"/>
          </w:tcPr>
          <w:p w14:paraId="110451C7">
            <w:pPr>
              <w:rPr>
                <w:rFonts w:ascii="宋体" w:hAnsi="宋体"/>
                <w:sz w:val="24"/>
                <w:szCs w:val="24"/>
                <w:highlight w:val="none"/>
              </w:rPr>
            </w:pPr>
            <w:r>
              <w:rPr>
                <w:rFonts w:hint="eastAsia" w:ascii="宋体" w:hAnsi="宋体"/>
                <w:sz w:val="24"/>
                <w:szCs w:val="24"/>
                <w:highlight w:val="none"/>
              </w:rPr>
              <w:t>甲方</w:t>
            </w:r>
          </w:p>
        </w:tc>
        <w:tc>
          <w:tcPr>
            <w:tcW w:w="9106" w:type="dxa"/>
            <w:gridSpan w:val="5"/>
            <w:vAlign w:val="center"/>
          </w:tcPr>
          <w:p w14:paraId="4CDF84CE">
            <w:pPr>
              <w:rPr>
                <w:rFonts w:ascii="宋体" w:hAnsi="宋体"/>
                <w:sz w:val="24"/>
                <w:szCs w:val="24"/>
                <w:highlight w:val="none"/>
              </w:rPr>
            </w:pPr>
            <w:r>
              <w:rPr>
                <w:rFonts w:hint="eastAsia" w:ascii="宋体" w:hAnsi="宋体"/>
                <w:sz w:val="24"/>
                <w:szCs w:val="24"/>
                <w:highlight w:val="none"/>
              </w:rPr>
              <w:t>联系人：</w:t>
            </w:r>
            <w:bookmarkStart w:id="2" w:name="Cus_Usr"/>
            <w:bookmarkEnd w:id="2"/>
            <w:r>
              <w:rPr>
                <w:rFonts w:hint="eastAsia" w:ascii="宋体" w:hAnsi="宋体"/>
                <w:sz w:val="24"/>
                <w:szCs w:val="24"/>
                <w:highlight w:val="none"/>
                <w:u w:val="single"/>
              </w:rPr>
              <w:t xml:space="preserve">                </w:t>
            </w:r>
            <w:r>
              <w:rPr>
                <w:rFonts w:ascii="宋体" w:hAnsi="宋体"/>
                <w:sz w:val="24"/>
                <w:szCs w:val="24"/>
                <w:highlight w:val="none"/>
              </w:rPr>
              <w:t xml:space="preserve"> </w:t>
            </w:r>
            <w:r>
              <w:rPr>
                <w:rFonts w:hint="eastAsia" w:ascii="宋体" w:hAnsi="宋体"/>
                <w:sz w:val="24"/>
                <w:szCs w:val="24"/>
                <w:highlight w:val="none"/>
              </w:rPr>
              <w:t>固定电话：</w:t>
            </w:r>
            <w:bookmarkStart w:id="3" w:name="Cus_Tel"/>
            <w:bookmarkEnd w:id="3"/>
            <w:r>
              <w:rPr>
                <w:rFonts w:hint="eastAsia" w:ascii="宋体" w:hAnsi="宋体"/>
                <w:sz w:val="24"/>
                <w:szCs w:val="24"/>
                <w:highlight w:val="none"/>
              </w:rPr>
              <w:t xml:space="preserve">                移动电话：</w:t>
            </w:r>
            <w:bookmarkStart w:id="4" w:name="Cus_Mob"/>
            <w:bookmarkEnd w:id="4"/>
          </w:p>
        </w:tc>
      </w:tr>
      <w:tr w14:paraId="31FD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8" w:type="dxa"/>
            <w:gridSpan w:val="2"/>
            <w:vAlign w:val="center"/>
          </w:tcPr>
          <w:p w14:paraId="79BB4621">
            <w:pPr>
              <w:rPr>
                <w:rFonts w:ascii="宋体" w:hAnsi="宋体"/>
                <w:sz w:val="24"/>
                <w:szCs w:val="24"/>
                <w:highlight w:val="none"/>
              </w:rPr>
            </w:pPr>
            <w:r>
              <w:rPr>
                <w:rFonts w:hint="eastAsia" w:ascii="宋体" w:hAnsi="宋体"/>
                <w:sz w:val="24"/>
                <w:szCs w:val="24"/>
                <w:highlight w:val="none"/>
              </w:rPr>
              <w:t>乙方</w:t>
            </w:r>
          </w:p>
        </w:tc>
        <w:tc>
          <w:tcPr>
            <w:tcW w:w="9106" w:type="dxa"/>
            <w:gridSpan w:val="5"/>
            <w:vAlign w:val="center"/>
          </w:tcPr>
          <w:p w14:paraId="6A93F1A7">
            <w:pPr>
              <w:rPr>
                <w:rFonts w:ascii="宋体" w:hAnsi="宋体"/>
                <w:sz w:val="24"/>
                <w:szCs w:val="24"/>
                <w:highlight w:val="none"/>
              </w:rPr>
            </w:pPr>
            <w:r>
              <w:rPr>
                <w:rFonts w:hint="eastAsia" w:ascii="宋体" w:hAnsi="宋体"/>
                <w:sz w:val="24"/>
                <w:szCs w:val="24"/>
                <w:highlight w:val="none"/>
              </w:rPr>
              <w:t>联系人：</w:t>
            </w:r>
            <w:bookmarkStart w:id="5" w:name="Spr_Usr"/>
            <w:bookmarkEnd w:id="5"/>
            <w:r>
              <w:rPr>
                <w:rFonts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固定电话：</w:t>
            </w:r>
            <w:bookmarkStart w:id="6" w:name="Spr_Tel"/>
            <w:bookmarkEnd w:id="6"/>
            <w:r>
              <w:rPr>
                <w:rFonts w:hint="eastAsia" w:ascii="宋体" w:hAnsi="宋体"/>
                <w:sz w:val="24"/>
                <w:szCs w:val="24"/>
                <w:highlight w:val="none"/>
              </w:rPr>
              <w:t xml:space="preserve">                移动电话：</w:t>
            </w:r>
            <w:bookmarkStart w:id="7" w:name="Spr_Mob"/>
            <w:bookmarkEnd w:id="7"/>
          </w:p>
        </w:tc>
      </w:tr>
    </w:tbl>
    <w:p w14:paraId="1ADFE411">
      <w:pPr>
        <w:widowControl/>
        <w:tabs>
          <w:tab w:val="left" w:pos="1980"/>
        </w:tabs>
        <w:snapToGrid w:val="0"/>
        <w:spacing w:line="520" w:lineRule="exact"/>
        <w:ind w:firstLine="482" w:firstLineChars="200"/>
        <w:rPr>
          <w:rFonts w:ascii="宋体" w:hAnsi="宋体"/>
          <w:b/>
          <w:bCs/>
          <w:sz w:val="24"/>
          <w:szCs w:val="28"/>
          <w:highlight w:val="none"/>
        </w:rPr>
      </w:pPr>
      <w:r>
        <w:rPr>
          <w:rFonts w:hint="eastAsia" w:ascii="宋体" w:hAnsi="宋体"/>
          <w:b/>
          <w:bCs/>
          <w:sz w:val="24"/>
          <w:szCs w:val="28"/>
          <w:highlight w:val="none"/>
        </w:rPr>
        <w:t>二、交货：</w:t>
      </w:r>
    </w:p>
    <w:p w14:paraId="5B678AA9">
      <w:pPr>
        <w:widowControl/>
        <w:tabs>
          <w:tab w:val="left" w:pos="1980"/>
        </w:tabs>
        <w:snapToGrid w:val="0"/>
        <w:spacing w:line="440" w:lineRule="exact"/>
        <w:ind w:firstLine="482" w:firstLineChars="200"/>
        <w:rPr>
          <w:rFonts w:ascii="宋体" w:hAnsi="宋体"/>
          <w:bCs/>
          <w:sz w:val="24"/>
          <w:szCs w:val="28"/>
          <w:highlight w:val="none"/>
        </w:rPr>
      </w:pPr>
      <w:r>
        <w:rPr>
          <w:rFonts w:hint="eastAsia" w:ascii="宋体" w:hAnsi="宋体"/>
          <w:b/>
          <w:bCs/>
          <w:sz w:val="24"/>
          <w:szCs w:val="28"/>
          <w:highlight w:val="none"/>
        </w:rPr>
        <w:t>1、</w:t>
      </w:r>
      <w:r>
        <w:rPr>
          <w:rFonts w:hint="eastAsia" w:ascii="宋体" w:hAnsi="宋体"/>
          <w:bCs/>
          <w:sz w:val="24"/>
          <w:szCs w:val="28"/>
          <w:highlight w:val="none"/>
        </w:rPr>
        <w:t>招标文件有要求的按相关要求执行。招标文件无具体要求的，采取的</w:t>
      </w:r>
      <w:r>
        <w:rPr>
          <w:rFonts w:hint="eastAsia" w:ascii="宋体" w:hAnsi="宋体"/>
          <w:bCs/>
          <w:sz w:val="24"/>
          <w:szCs w:val="28"/>
          <w:highlight w:val="none"/>
          <w:u w:val="single"/>
        </w:rPr>
        <w:t>现场</w:t>
      </w:r>
      <w:r>
        <w:rPr>
          <w:rFonts w:hint="eastAsia" w:ascii="宋体" w:hAnsi="宋体"/>
          <w:bCs/>
          <w:sz w:val="24"/>
          <w:szCs w:val="28"/>
          <w:highlight w:val="none"/>
        </w:rPr>
        <w:t>方式交货。</w:t>
      </w:r>
    </w:p>
    <w:p w14:paraId="4B89E8F6">
      <w:pPr>
        <w:spacing w:line="440" w:lineRule="exact"/>
        <w:ind w:firstLine="480" w:firstLineChars="200"/>
        <w:rPr>
          <w:rFonts w:ascii="宋体" w:hAnsi="宋体"/>
          <w:sz w:val="24"/>
          <w:highlight w:val="none"/>
        </w:rPr>
      </w:pPr>
      <w:r>
        <w:rPr>
          <w:rFonts w:hint="eastAsia" w:ascii="宋体" w:hAnsi="宋体"/>
          <w:sz w:val="24"/>
          <w:highlight w:val="none"/>
        </w:rPr>
        <w:t>2、此次设备采购为交钥匙工程，乙方负责设备运输、保险、上下力、安装调试等所有工作，直至通过甲方验收并交付使用。乙方在勘察现场、卸货、安装、调试时，乙方应保证现场人身和技术安全，并听从甲方安排，否则发生一切意外甲方概不负责。</w:t>
      </w:r>
    </w:p>
    <w:p w14:paraId="7AE6A338">
      <w:pPr>
        <w:spacing w:line="440" w:lineRule="exact"/>
        <w:ind w:firstLine="480" w:firstLineChars="200"/>
        <w:rPr>
          <w:rFonts w:ascii="宋体"/>
          <w:sz w:val="24"/>
          <w:highlight w:val="none"/>
        </w:rPr>
      </w:pPr>
      <w:r>
        <w:rPr>
          <w:rFonts w:hint="eastAsia" w:ascii="宋体"/>
          <w:sz w:val="24"/>
          <w:highlight w:val="none"/>
        </w:rPr>
        <w:t>3、乙方应选择合适的、安全的包装和运输方式，并负责运输和保险费用，在货物到达甲方指定地点之前，货物毁损的风险由乙方承担。</w:t>
      </w:r>
    </w:p>
    <w:p w14:paraId="7D1576F9">
      <w:pPr>
        <w:spacing w:line="440" w:lineRule="exact"/>
        <w:ind w:firstLine="480" w:firstLineChars="200"/>
        <w:rPr>
          <w:rFonts w:ascii="宋体"/>
          <w:sz w:val="24"/>
          <w:highlight w:val="none"/>
        </w:rPr>
      </w:pPr>
      <w:r>
        <w:rPr>
          <w:rFonts w:hint="eastAsia" w:ascii="宋体" w:hAnsi="宋体"/>
          <w:sz w:val="24"/>
          <w:highlight w:val="none"/>
        </w:rPr>
        <w:t>4、</w:t>
      </w:r>
      <w:r>
        <w:rPr>
          <w:rFonts w:hint="eastAsia" w:ascii="宋体"/>
          <w:sz w:val="24"/>
          <w:highlight w:val="none"/>
        </w:rPr>
        <w:t>乙方保证合同货物是全新的、技术先进的、质量优越的、没有设计上和材料及工艺上的缺陷并且适合于合同规定的用途和目的。</w:t>
      </w:r>
    </w:p>
    <w:p w14:paraId="444A795C">
      <w:pPr>
        <w:spacing w:line="440" w:lineRule="exact"/>
        <w:ind w:firstLine="480" w:firstLineChars="200"/>
        <w:rPr>
          <w:rFonts w:ascii="宋体"/>
          <w:sz w:val="24"/>
          <w:highlight w:val="none"/>
        </w:rPr>
      </w:pPr>
      <w:r>
        <w:rPr>
          <w:rFonts w:hint="eastAsia" w:ascii="宋体"/>
          <w:sz w:val="24"/>
          <w:highlight w:val="none"/>
        </w:rPr>
        <w:t>5、乙方保证所交付的技术资料应是完整的、清楚的和正确的，并且能够满足合同货物安装、试运行、性能考核、操作和维修的要求。</w:t>
      </w:r>
    </w:p>
    <w:p w14:paraId="21AB9CCD">
      <w:pPr>
        <w:spacing w:line="440" w:lineRule="exact"/>
        <w:ind w:firstLine="480" w:firstLineChars="200"/>
        <w:rPr>
          <w:rFonts w:ascii="宋体" w:hAnsi="宋体"/>
          <w:b/>
          <w:sz w:val="24"/>
          <w:szCs w:val="28"/>
          <w:highlight w:val="none"/>
        </w:rPr>
      </w:pPr>
      <w:r>
        <w:rPr>
          <w:rFonts w:hint="eastAsia" w:ascii="宋体"/>
          <w:sz w:val="24"/>
          <w:highlight w:val="none"/>
        </w:rPr>
        <w:t>6、乙方保证及时派遣合格的技术人员提供合同货物运行必需的专业的、正确的和高效的技术服务和技术培训。若在合同规定的日期前未完成调试，或甲方对调试情况不满意，则甲方有权要求货物原制造厂派员前来调试，乙方不得拒绝，所发生的费用由乙方承担。</w:t>
      </w:r>
    </w:p>
    <w:p w14:paraId="52F305A3">
      <w:pPr>
        <w:spacing w:line="520" w:lineRule="exact"/>
        <w:ind w:firstLine="482" w:firstLineChars="200"/>
        <w:rPr>
          <w:rFonts w:ascii="宋体" w:hAnsi="宋体"/>
          <w:sz w:val="24"/>
          <w:szCs w:val="28"/>
          <w:highlight w:val="none"/>
          <w:u w:val="single"/>
        </w:rPr>
      </w:pPr>
      <w:r>
        <w:rPr>
          <w:rFonts w:hint="eastAsia" w:ascii="宋体" w:hAnsi="宋体"/>
          <w:b/>
          <w:sz w:val="24"/>
          <w:szCs w:val="28"/>
          <w:highlight w:val="none"/>
        </w:rPr>
        <w:t>三</w:t>
      </w:r>
      <w:r>
        <w:rPr>
          <w:rFonts w:hint="eastAsia" w:ascii="宋体" w:hAnsi="宋体"/>
          <w:b/>
          <w:bCs/>
          <w:sz w:val="24"/>
          <w:szCs w:val="28"/>
          <w:highlight w:val="none"/>
        </w:rPr>
        <w:t>、交货地点：</w:t>
      </w:r>
      <w:bookmarkStart w:id="8" w:name="Con_Location"/>
      <w:bookmarkEnd w:id="8"/>
      <w:r>
        <w:rPr>
          <w:rFonts w:hint="eastAsia" w:ascii="宋体" w:hAnsi="宋体"/>
          <w:bCs/>
          <w:sz w:val="24"/>
          <w:szCs w:val="28"/>
          <w:highlight w:val="none"/>
          <w:u w:val="single"/>
        </w:rPr>
        <w:t>甲方</w:t>
      </w:r>
      <w:r>
        <w:rPr>
          <w:rFonts w:ascii="宋体" w:hAnsi="宋体"/>
          <w:bCs/>
          <w:sz w:val="24"/>
          <w:szCs w:val="28"/>
          <w:highlight w:val="none"/>
          <w:u w:val="single"/>
        </w:rPr>
        <w:t>指定</w:t>
      </w:r>
      <w:r>
        <w:rPr>
          <w:rFonts w:hint="eastAsia" w:ascii="宋体" w:hAnsi="宋体"/>
          <w:bCs/>
          <w:sz w:val="24"/>
          <w:szCs w:val="28"/>
          <w:highlight w:val="none"/>
          <w:u w:val="single"/>
        </w:rPr>
        <w:t>地</w:t>
      </w:r>
      <w:r>
        <w:rPr>
          <w:rFonts w:ascii="宋体" w:hAnsi="宋体"/>
          <w:bCs/>
          <w:sz w:val="24"/>
          <w:szCs w:val="28"/>
          <w:highlight w:val="none"/>
          <w:u w:val="single"/>
        </w:rPr>
        <w:t>点</w:t>
      </w:r>
      <w:r>
        <w:rPr>
          <w:rFonts w:ascii="宋体" w:hAnsi="宋体"/>
          <w:sz w:val="24"/>
          <w:szCs w:val="28"/>
          <w:highlight w:val="none"/>
          <w:u w:val="single"/>
        </w:rPr>
        <w:t>。</w:t>
      </w:r>
    </w:p>
    <w:p w14:paraId="00B78D6E">
      <w:pPr>
        <w:widowControl/>
        <w:tabs>
          <w:tab w:val="left" w:pos="1980"/>
        </w:tabs>
        <w:snapToGrid w:val="0"/>
        <w:spacing w:line="520" w:lineRule="exact"/>
        <w:ind w:firstLine="482" w:firstLineChars="200"/>
        <w:rPr>
          <w:rFonts w:ascii="宋体" w:hAnsi="宋体"/>
          <w:b/>
          <w:bCs/>
          <w:sz w:val="24"/>
          <w:szCs w:val="28"/>
          <w:highlight w:val="none"/>
          <w:u w:val="single"/>
        </w:rPr>
      </w:pPr>
      <w:r>
        <w:rPr>
          <w:rFonts w:hint="eastAsia" w:ascii="宋体" w:hAnsi="宋体"/>
          <w:b/>
          <w:bCs/>
          <w:sz w:val="24"/>
          <w:szCs w:val="28"/>
          <w:highlight w:val="none"/>
        </w:rPr>
        <w:t>四、交货时间：</w:t>
      </w:r>
      <w:r>
        <w:rPr>
          <w:rFonts w:hint="eastAsia" w:ascii="宋体" w:hAnsi="宋体"/>
          <w:b/>
          <w:bCs/>
          <w:sz w:val="24"/>
          <w:szCs w:val="28"/>
          <w:highlight w:val="none"/>
          <w:u w:val="single"/>
        </w:rPr>
        <w:t xml:space="preserve">                                                   。</w:t>
      </w:r>
    </w:p>
    <w:p w14:paraId="17C38505">
      <w:pPr>
        <w:spacing w:before="156" w:beforeLines="50" w:line="400" w:lineRule="exact"/>
        <w:ind w:firstLine="482" w:firstLineChars="200"/>
        <w:rPr>
          <w:rFonts w:ascii="宋体" w:hAnsi="宋体"/>
          <w:b/>
          <w:bCs/>
          <w:sz w:val="24"/>
          <w:szCs w:val="28"/>
          <w:highlight w:val="none"/>
        </w:rPr>
      </w:pPr>
      <w:r>
        <w:rPr>
          <w:rFonts w:hint="eastAsia" w:ascii="宋体" w:hAnsi="宋体"/>
          <w:b/>
          <w:bCs/>
          <w:sz w:val="24"/>
          <w:szCs w:val="28"/>
          <w:highlight w:val="none"/>
        </w:rPr>
        <w:t>五、安全：</w:t>
      </w:r>
    </w:p>
    <w:p w14:paraId="1551571E">
      <w:pPr>
        <w:spacing w:before="156" w:beforeLines="50" w:line="400" w:lineRule="exact"/>
        <w:ind w:firstLine="480" w:firstLineChars="200"/>
        <w:rPr>
          <w:rFonts w:ascii="宋体" w:hAnsi="宋体"/>
          <w:sz w:val="24"/>
          <w:highlight w:val="none"/>
        </w:rPr>
      </w:pPr>
      <w:r>
        <w:rPr>
          <w:rFonts w:hint="eastAsia" w:ascii="宋体" w:hAnsi="宋体"/>
          <w:sz w:val="24"/>
          <w:highlight w:val="none"/>
        </w:rPr>
        <w:t>乙方应遵守安全生产有关管理规定，严格按照安全标准执行，承担由于自身安全措施不力造成事故的责任和因此发生的费用。</w:t>
      </w:r>
    </w:p>
    <w:p w14:paraId="626EC277">
      <w:pPr>
        <w:widowControl/>
        <w:tabs>
          <w:tab w:val="left" w:pos="1980"/>
        </w:tabs>
        <w:snapToGrid w:val="0"/>
        <w:spacing w:line="440" w:lineRule="exact"/>
        <w:ind w:firstLine="482" w:firstLineChars="200"/>
        <w:rPr>
          <w:rFonts w:ascii="宋体"/>
          <w:sz w:val="24"/>
          <w:highlight w:val="none"/>
        </w:rPr>
      </w:pPr>
      <w:r>
        <w:rPr>
          <w:rFonts w:hint="eastAsia" w:ascii="宋体" w:hAnsi="宋体"/>
          <w:b/>
          <w:bCs/>
          <w:sz w:val="24"/>
          <w:szCs w:val="28"/>
          <w:highlight w:val="none"/>
        </w:rPr>
        <w:t>六、验收</w:t>
      </w:r>
      <w:r>
        <w:rPr>
          <w:rFonts w:hint="eastAsia" w:ascii="宋体" w:hAnsi="宋体"/>
          <w:sz w:val="24"/>
          <w:szCs w:val="28"/>
          <w:highlight w:val="none"/>
        </w:rPr>
        <w:t>：</w:t>
      </w:r>
      <w:r>
        <w:rPr>
          <w:rFonts w:hint="eastAsia" w:ascii="宋体"/>
          <w:sz w:val="24"/>
          <w:highlight w:val="none"/>
        </w:rPr>
        <w:t>甲方按招标文件相关要求进行现场开封安装调试验收。如需委托第三方验收，第三方是指：国家级计量单位，验收费用由乙方承担。因乙方交付的货物不符合标准导致甲方重复支出的验收费用，由乙方承担。</w:t>
      </w:r>
    </w:p>
    <w:p w14:paraId="65ECA6B1">
      <w:pPr>
        <w:widowControl/>
        <w:snapToGrid w:val="0"/>
        <w:spacing w:line="520" w:lineRule="exact"/>
        <w:ind w:left="105" w:leftChars="50" w:firstLine="482" w:firstLineChars="200"/>
        <w:rPr>
          <w:rFonts w:ascii="宋体" w:hAnsi="宋体"/>
          <w:bCs/>
          <w:sz w:val="24"/>
          <w:szCs w:val="28"/>
          <w:highlight w:val="none"/>
        </w:rPr>
      </w:pPr>
      <w:r>
        <w:rPr>
          <w:rFonts w:hint="eastAsia" w:ascii="宋体" w:hAnsi="宋体"/>
          <w:b/>
          <w:bCs/>
          <w:sz w:val="24"/>
          <w:szCs w:val="28"/>
          <w:highlight w:val="none"/>
        </w:rPr>
        <w:t>七、履约保证金</w:t>
      </w:r>
      <w:r>
        <w:rPr>
          <w:rFonts w:hint="eastAsia" w:ascii="宋体" w:hAnsi="宋体"/>
          <w:sz w:val="24"/>
          <w:szCs w:val="28"/>
          <w:highlight w:val="none"/>
        </w:rPr>
        <w:t>：</w:t>
      </w:r>
      <w:r>
        <w:rPr>
          <w:rFonts w:hint="eastAsia" w:ascii="宋体" w:hAnsi="宋体"/>
          <w:bCs/>
          <w:sz w:val="24"/>
          <w:szCs w:val="28"/>
          <w:highlight w:val="none"/>
        </w:rPr>
        <w:t>合同签订时收取10%履约保证金，在本合同项下全部款项支付完毕后，一次性无息退还履约保证金。</w:t>
      </w:r>
      <w:bookmarkStart w:id="34" w:name="_GoBack"/>
      <w:bookmarkEnd w:id="34"/>
    </w:p>
    <w:p w14:paraId="792E1215">
      <w:pPr>
        <w:widowControl/>
        <w:snapToGrid w:val="0"/>
        <w:spacing w:line="520" w:lineRule="exact"/>
        <w:ind w:left="105" w:leftChars="50" w:firstLine="482" w:firstLineChars="200"/>
        <w:rPr>
          <w:rFonts w:ascii="宋体" w:hAnsi="宋体"/>
          <w:sz w:val="24"/>
          <w:szCs w:val="28"/>
          <w:highlight w:val="none"/>
        </w:rPr>
      </w:pPr>
      <w:r>
        <w:rPr>
          <w:rFonts w:hint="eastAsia" w:ascii="宋体" w:hAnsi="宋体"/>
          <w:b/>
          <w:bCs/>
          <w:sz w:val="24"/>
          <w:szCs w:val="28"/>
          <w:highlight w:val="none"/>
        </w:rPr>
        <w:t>八、付款</w:t>
      </w:r>
      <w:r>
        <w:rPr>
          <w:rFonts w:hint="eastAsia" w:ascii="宋体" w:hAnsi="宋体"/>
          <w:sz w:val="24"/>
          <w:szCs w:val="28"/>
          <w:highlight w:val="none"/>
        </w:rPr>
        <w:t>：</w:t>
      </w:r>
    </w:p>
    <w:p w14:paraId="4303F9AD">
      <w:pPr>
        <w:widowControl/>
        <w:snapToGrid w:val="0"/>
        <w:spacing w:line="440" w:lineRule="exact"/>
        <w:ind w:firstLine="480" w:firstLineChars="200"/>
        <w:rPr>
          <w:rFonts w:ascii="宋体" w:hAnsi="宋体"/>
          <w:sz w:val="24"/>
          <w:szCs w:val="28"/>
          <w:highlight w:val="none"/>
        </w:rPr>
      </w:pPr>
      <w:r>
        <w:rPr>
          <w:rFonts w:hint="eastAsia" w:ascii="宋体" w:hAnsi="宋体"/>
          <w:sz w:val="24"/>
          <w:szCs w:val="28"/>
          <w:highlight w:val="none"/>
        </w:rPr>
        <w:t>1、合同签订并缴纳履约保证金后，一周内付合同总额的30%。</w:t>
      </w:r>
    </w:p>
    <w:p w14:paraId="4B20A243">
      <w:pPr>
        <w:spacing w:line="360" w:lineRule="auto"/>
        <w:ind w:firstLine="480" w:firstLineChars="200"/>
        <w:rPr>
          <w:rFonts w:ascii="宋体" w:hAnsi="宋体"/>
          <w:sz w:val="24"/>
          <w:szCs w:val="28"/>
          <w:highlight w:val="none"/>
        </w:rPr>
      </w:pPr>
      <w:r>
        <w:rPr>
          <w:rFonts w:hint="eastAsia" w:ascii="宋体" w:hAnsi="宋体"/>
          <w:sz w:val="24"/>
          <w:szCs w:val="28"/>
          <w:highlight w:val="none"/>
        </w:rPr>
        <w:t>2、设备已全部运抵甲方指定地点，安装、调试运行正常、验收完毕，且乙方为甲方培训结束、甲方无疑问后，乙方向甲方出具设备购销合同全额发票，甲方收到全额发票后十个工作日内向乙方支付合同总额的70%。</w:t>
      </w:r>
    </w:p>
    <w:p w14:paraId="6EE73BE4">
      <w:pPr>
        <w:widowControl/>
        <w:snapToGrid w:val="0"/>
        <w:spacing w:line="520" w:lineRule="exact"/>
        <w:ind w:firstLine="482" w:firstLineChars="200"/>
        <w:rPr>
          <w:rFonts w:ascii="宋体" w:hAnsi="宋体"/>
          <w:b/>
          <w:bCs/>
          <w:sz w:val="24"/>
          <w:szCs w:val="24"/>
          <w:highlight w:val="none"/>
        </w:rPr>
      </w:pPr>
      <w:r>
        <w:rPr>
          <w:rFonts w:hint="eastAsia" w:ascii="宋体" w:hAnsi="宋体"/>
          <w:b/>
          <w:sz w:val="24"/>
          <w:szCs w:val="28"/>
          <w:highlight w:val="none"/>
        </w:rPr>
        <w:t>九、</w:t>
      </w:r>
      <w:r>
        <w:rPr>
          <w:rFonts w:hint="eastAsia" w:ascii="宋体" w:hAnsi="宋体"/>
          <w:b/>
          <w:bCs/>
          <w:sz w:val="24"/>
          <w:szCs w:val="24"/>
          <w:highlight w:val="none"/>
        </w:rPr>
        <w:t>质保期：</w:t>
      </w:r>
    </w:p>
    <w:p w14:paraId="2A9DF94C">
      <w:pPr>
        <w:spacing w:line="440" w:lineRule="exact"/>
        <w:ind w:firstLine="480" w:firstLineChars="200"/>
        <w:rPr>
          <w:rFonts w:ascii="宋体" w:hAnsi="宋体"/>
          <w:sz w:val="24"/>
          <w:highlight w:val="none"/>
        </w:rPr>
      </w:pPr>
      <w:r>
        <w:rPr>
          <w:rFonts w:hint="eastAsia" w:ascii="宋体" w:hAnsi="宋体"/>
          <w:sz w:val="24"/>
          <w:highlight w:val="none"/>
        </w:rPr>
        <w:t>1、自甲方签发货物最终验收合格单据之日起</w:t>
      </w:r>
      <w:r>
        <w:rPr>
          <w:rFonts w:hint="eastAsia" w:ascii="宋体" w:hAnsi="宋体"/>
          <w:sz w:val="24"/>
          <w:highlight w:val="none"/>
          <w:u w:val="single"/>
        </w:rPr>
        <w:t xml:space="preserve">   </w:t>
      </w:r>
      <w:r>
        <w:rPr>
          <w:rFonts w:hint="eastAsia" w:ascii="宋体" w:hAnsi="宋体"/>
          <w:sz w:val="24"/>
          <w:highlight w:val="none"/>
        </w:rPr>
        <w:t>年内免费质保。</w:t>
      </w:r>
    </w:p>
    <w:p w14:paraId="1EBE1189">
      <w:pPr>
        <w:spacing w:line="440" w:lineRule="exact"/>
        <w:ind w:left="420" w:firstLine="120" w:firstLineChars="50"/>
        <w:rPr>
          <w:rFonts w:ascii="宋体"/>
          <w:sz w:val="24"/>
          <w:highlight w:val="none"/>
        </w:rPr>
      </w:pPr>
      <w:r>
        <w:rPr>
          <w:rFonts w:hint="eastAsia" w:ascii="宋体" w:hAnsi="宋体"/>
          <w:sz w:val="24"/>
          <w:highlight w:val="none"/>
        </w:rPr>
        <w:t>2、</w:t>
      </w:r>
      <w:r>
        <w:rPr>
          <w:rFonts w:hint="eastAsia" w:ascii="宋体"/>
          <w:sz w:val="24"/>
          <w:highlight w:val="none"/>
        </w:rPr>
        <w:t>若在质保期内发生设备重要部件质量问题以致设备无法正常运行，应将重要部件更换，维修及更换部分质保期重新开始，即从修复之日起</w:t>
      </w:r>
      <w:r>
        <w:rPr>
          <w:rFonts w:hint="eastAsia" w:ascii="宋体"/>
          <w:sz w:val="24"/>
          <w:highlight w:val="none"/>
          <w:u w:val="single"/>
        </w:rPr>
        <w:t xml:space="preserve">   </w:t>
      </w:r>
      <w:r>
        <w:rPr>
          <w:rFonts w:hint="eastAsia" w:ascii="宋体"/>
          <w:sz w:val="24"/>
          <w:highlight w:val="none"/>
        </w:rPr>
        <w:t>个月。软件应用提供长期免费技术支持。</w:t>
      </w:r>
    </w:p>
    <w:p w14:paraId="61C0CCB2">
      <w:pPr>
        <w:widowControl/>
        <w:snapToGrid w:val="0"/>
        <w:spacing w:line="440" w:lineRule="exact"/>
        <w:ind w:firstLine="482" w:firstLineChars="200"/>
        <w:rPr>
          <w:rFonts w:ascii="宋体" w:hAnsi="宋体"/>
          <w:sz w:val="24"/>
          <w:szCs w:val="28"/>
          <w:highlight w:val="none"/>
        </w:rPr>
      </w:pPr>
      <w:r>
        <w:rPr>
          <w:rFonts w:hint="eastAsia" w:ascii="宋体" w:hAnsi="宋体"/>
          <w:b/>
          <w:sz w:val="24"/>
          <w:szCs w:val="28"/>
          <w:highlight w:val="none"/>
        </w:rPr>
        <w:t>十、合同纠纷处理：</w:t>
      </w:r>
      <w:r>
        <w:rPr>
          <w:rFonts w:hint="eastAsia" w:ascii="宋体" w:hAnsi="宋体"/>
          <w:sz w:val="24"/>
          <w:szCs w:val="28"/>
          <w:highlight w:val="none"/>
        </w:rPr>
        <w:t>本合同执行过程中发生纠纷，由甲乙双方协商解决，若协商不成，作如下</w:t>
      </w:r>
      <w:r>
        <w:rPr>
          <w:rFonts w:hint="eastAsia" w:ascii="宋体" w:hAnsi="宋体"/>
          <w:sz w:val="24"/>
          <w:szCs w:val="28"/>
          <w:highlight w:val="none"/>
          <w:u w:val="single"/>
        </w:rPr>
        <w:t xml:space="preserve"> 2 </w:t>
      </w:r>
      <w:r>
        <w:rPr>
          <w:rFonts w:hint="eastAsia" w:ascii="宋体" w:hAnsi="宋体"/>
          <w:sz w:val="24"/>
          <w:szCs w:val="28"/>
          <w:highlight w:val="none"/>
        </w:rPr>
        <w:t>处理：</w:t>
      </w:r>
    </w:p>
    <w:p w14:paraId="65A8F3C6">
      <w:pPr>
        <w:widowControl/>
        <w:tabs>
          <w:tab w:val="left" w:pos="1980"/>
        </w:tabs>
        <w:snapToGrid w:val="0"/>
        <w:spacing w:line="440" w:lineRule="exact"/>
        <w:ind w:firstLine="480" w:firstLineChars="200"/>
        <w:rPr>
          <w:rFonts w:ascii="宋体" w:hAnsi="宋体"/>
          <w:sz w:val="24"/>
          <w:szCs w:val="28"/>
          <w:highlight w:val="none"/>
        </w:rPr>
      </w:pPr>
      <w:r>
        <w:rPr>
          <w:rFonts w:hint="eastAsia" w:ascii="宋体" w:hAnsi="宋体"/>
          <w:sz w:val="24"/>
          <w:szCs w:val="28"/>
          <w:highlight w:val="none"/>
        </w:rPr>
        <w:t>1．申请仲裁。选定仲裁机构为南京市仲裁委员会。</w:t>
      </w:r>
    </w:p>
    <w:p w14:paraId="1EF4A902">
      <w:pPr>
        <w:widowControl/>
        <w:tabs>
          <w:tab w:val="left" w:pos="1980"/>
        </w:tabs>
        <w:snapToGrid w:val="0"/>
        <w:spacing w:line="440" w:lineRule="exact"/>
        <w:ind w:firstLine="480" w:firstLineChars="200"/>
        <w:rPr>
          <w:rFonts w:ascii="宋体" w:hAnsi="宋体"/>
          <w:sz w:val="24"/>
          <w:szCs w:val="28"/>
          <w:highlight w:val="none"/>
        </w:rPr>
      </w:pPr>
      <w:r>
        <w:rPr>
          <w:rFonts w:hint="eastAsia" w:ascii="宋体" w:hAnsi="宋体"/>
          <w:sz w:val="24"/>
          <w:szCs w:val="28"/>
          <w:highlight w:val="none"/>
        </w:rPr>
        <w:t>2．提起诉讼。约定由甲方所在地法院管辖。</w:t>
      </w:r>
    </w:p>
    <w:p w14:paraId="4D4F14EB">
      <w:pPr>
        <w:widowControl/>
        <w:snapToGrid w:val="0"/>
        <w:spacing w:line="520" w:lineRule="exact"/>
        <w:ind w:firstLine="482" w:firstLineChars="200"/>
        <w:rPr>
          <w:rFonts w:ascii="宋体" w:hAnsi="宋体"/>
          <w:sz w:val="24"/>
          <w:szCs w:val="28"/>
          <w:highlight w:val="none"/>
        </w:rPr>
      </w:pPr>
      <w:r>
        <w:rPr>
          <w:rFonts w:hint="eastAsia" w:ascii="宋体" w:hAnsi="宋体"/>
          <w:b/>
          <w:sz w:val="24"/>
          <w:szCs w:val="28"/>
          <w:highlight w:val="none"/>
        </w:rPr>
        <w:t>十一、合同生效：</w:t>
      </w:r>
      <w:r>
        <w:rPr>
          <w:rFonts w:hint="eastAsia" w:ascii="宋体" w:hAnsi="宋体"/>
          <w:sz w:val="24"/>
          <w:szCs w:val="28"/>
          <w:highlight w:val="none"/>
        </w:rPr>
        <w:t>本合同由甲乙双方签字盖章后生效。</w:t>
      </w:r>
    </w:p>
    <w:p w14:paraId="17E7182E">
      <w:pPr>
        <w:widowControl/>
        <w:snapToGrid w:val="0"/>
        <w:spacing w:line="520" w:lineRule="exact"/>
        <w:ind w:firstLine="482" w:firstLineChars="200"/>
        <w:rPr>
          <w:rFonts w:ascii="宋体" w:hAnsi="宋体"/>
          <w:b/>
          <w:sz w:val="28"/>
          <w:szCs w:val="28"/>
          <w:highlight w:val="none"/>
        </w:rPr>
      </w:pPr>
      <w:r>
        <w:rPr>
          <w:rFonts w:hint="eastAsia" w:ascii="宋体" w:hAnsi="宋体"/>
          <w:b/>
          <w:sz w:val="24"/>
          <w:szCs w:val="28"/>
          <w:highlight w:val="none"/>
        </w:rPr>
        <w:t>十二</w:t>
      </w:r>
      <w:r>
        <w:rPr>
          <w:rFonts w:hint="eastAsia" w:ascii="宋体" w:hAnsi="宋体"/>
          <w:b/>
          <w:sz w:val="28"/>
          <w:szCs w:val="28"/>
          <w:highlight w:val="none"/>
        </w:rPr>
        <w:t>、组成本合同的文件包括：</w:t>
      </w:r>
    </w:p>
    <w:p w14:paraId="4A2087C7">
      <w:pPr>
        <w:widowControl/>
        <w:snapToGrid w:val="0"/>
        <w:spacing w:line="440" w:lineRule="exact"/>
        <w:ind w:left="555" w:firstLine="9" w:firstLineChars="4"/>
        <w:rPr>
          <w:rFonts w:ascii="宋体" w:hAnsi="宋体"/>
          <w:bCs/>
          <w:sz w:val="24"/>
          <w:szCs w:val="28"/>
          <w:highlight w:val="none"/>
        </w:rPr>
      </w:pPr>
      <w:r>
        <w:rPr>
          <w:rFonts w:hint="eastAsia" w:ascii="宋体" w:hAnsi="宋体"/>
          <w:bCs/>
          <w:sz w:val="24"/>
          <w:szCs w:val="28"/>
          <w:highlight w:val="none"/>
        </w:rPr>
        <w:t>（一）合同通用条款和专用条款；</w:t>
      </w:r>
    </w:p>
    <w:p w14:paraId="3AEC5DFD">
      <w:pPr>
        <w:widowControl/>
        <w:snapToGrid w:val="0"/>
        <w:spacing w:line="440" w:lineRule="exact"/>
        <w:ind w:left="555" w:firstLine="9" w:firstLineChars="4"/>
        <w:rPr>
          <w:rFonts w:ascii="宋体" w:hAnsi="宋体"/>
          <w:bCs/>
          <w:sz w:val="24"/>
          <w:szCs w:val="28"/>
          <w:highlight w:val="none"/>
        </w:rPr>
      </w:pPr>
      <w:r>
        <w:rPr>
          <w:rFonts w:hint="eastAsia" w:ascii="宋体" w:hAnsi="宋体"/>
          <w:bCs/>
          <w:sz w:val="24"/>
          <w:szCs w:val="28"/>
          <w:highlight w:val="none"/>
        </w:rPr>
        <w:t>（二）采购文件和乙方的</w:t>
      </w:r>
      <w:r>
        <w:rPr>
          <w:rFonts w:hint="eastAsia" w:ascii="宋体" w:hAnsi="宋体" w:cs="宋体"/>
          <w:bCs/>
          <w:sz w:val="24"/>
          <w:szCs w:val="28"/>
          <w:highlight w:val="none"/>
        </w:rPr>
        <w:t>投标</w:t>
      </w:r>
      <w:r>
        <w:rPr>
          <w:rFonts w:hint="eastAsia" w:ascii="宋体" w:hAnsi="宋体"/>
          <w:bCs/>
          <w:sz w:val="24"/>
          <w:szCs w:val="28"/>
          <w:highlight w:val="none"/>
        </w:rPr>
        <w:t>文件；</w:t>
      </w:r>
    </w:p>
    <w:p w14:paraId="25ADA4A9">
      <w:pPr>
        <w:widowControl/>
        <w:snapToGrid w:val="0"/>
        <w:spacing w:line="440" w:lineRule="exact"/>
        <w:ind w:left="555" w:firstLine="9" w:firstLineChars="4"/>
        <w:rPr>
          <w:rFonts w:ascii="宋体" w:hAnsi="宋体"/>
          <w:bCs/>
          <w:sz w:val="24"/>
          <w:szCs w:val="28"/>
          <w:highlight w:val="none"/>
        </w:rPr>
      </w:pPr>
      <w:r>
        <w:rPr>
          <w:rFonts w:hint="eastAsia" w:ascii="宋体" w:hAnsi="宋体"/>
          <w:bCs/>
          <w:sz w:val="24"/>
          <w:szCs w:val="28"/>
          <w:highlight w:val="none"/>
        </w:rPr>
        <w:t>（三）技术协议；</w:t>
      </w:r>
    </w:p>
    <w:p w14:paraId="07549222">
      <w:pPr>
        <w:widowControl/>
        <w:snapToGrid w:val="0"/>
        <w:spacing w:line="440" w:lineRule="exact"/>
        <w:ind w:firstLine="480" w:firstLineChars="200"/>
        <w:rPr>
          <w:rFonts w:ascii="宋体" w:hAnsi="宋体"/>
          <w:bCs/>
          <w:sz w:val="24"/>
          <w:szCs w:val="28"/>
          <w:highlight w:val="none"/>
        </w:rPr>
      </w:pPr>
      <w:r>
        <w:rPr>
          <w:rFonts w:hint="eastAsia" w:ascii="宋体" w:hAnsi="宋体"/>
          <w:bCs/>
          <w:sz w:val="24"/>
          <w:szCs w:val="28"/>
          <w:highlight w:val="none"/>
        </w:rPr>
        <w:t>上述合同文件内容互为补充，如有不明确，由甲方负责解释。</w:t>
      </w:r>
    </w:p>
    <w:p w14:paraId="7ADE99ED">
      <w:pPr>
        <w:widowControl/>
        <w:snapToGrid w:val="0"/>
        <w:spacing w:line="520" w:lineRule="exact"/>
        <w:ind w:firstLine="562" w:firstLineChars="200"/>
        <w:rPr>
          <w:rFonts w:ascii="宋体" w:hAnsi="宋体"/>
          <w:b/>
          <w:bCs/>
          <w:sz w:val="28"/>
          <w:szCs w:val="28"/>
          <w:highlight w:val="none"/>
        </w:rPr>
      </w:pPr>
      <w:r>
        <w:rPr>
          <w:rFonts w:hint="eastAsia" w:ascii="宋体" w:hAnsi="宋体"/>
          <w:b/>
          <w:bCs/>
          <w:sz w:val="28"/>
          <w:szCs w:val="28"/>
          <w:highlight w:val="none"/>
        </w:rPr>
        <w:t>十三、合同备案</w:t>
      </w:r>
    </w:p>
    <w:p w14:paraId="184D2A78">
      <w:pPr>
        <w:widowControl/>
        <w:snapToGrid w:val="0"/>
        <w:spacing w:line="520" w:lineRule="exact"/>
        <w:ind w:firstLine="480" w:firstLineChars="200"/>
        <w:rPr>
          <w:rFonts w:ascii="宋体" w:hAnsi="宋体" w:cs="新宋体"/>
          <w:b/>
          <w:sz w:val="28"/>
          <w:szCs w:val="28"/>
          <w:highlight w:val="none"/>
        </w:rPr>
      </w:pPr>
      <w:r>
        <w:rPr>
          <w:rFonts w:hint="eastAsia" w:ascii="宋体" w:hAnsi="宋体"/>
          <w:bCs/>
          <w:sz w:val="24"/>
          <w:szCs w:val="28"/>
          <w:highlight w:val="none"/>
        </w:rPr>
        <w:t>本合同一式柒份，中文书写。甲方伍份，乙方两份。</w:t>
      </w:r>
    </w:p>
    <w:p w14:paraId="17795FFB">
      <w:pPr>
        <w:pStyle w:val="2"/>
        <w:snapToGrid w:val="0"/>
        <w:spacing w:line="240" w:lineRule="auto"/>
        <w:jc w:val="center"/>
        <w:rPr>
          <w:rFonts w:ascii="宋体" w:hAnsi="宋体"/>
          <w:sz w:val="32"/>
          <w:szCs w:val="30"/>
          <w:highlight w:val="none"/>
        </w:rPr>
      </w:pPr>
      <w:bookmarkStart w:id="9" w:name="_Toc452384207"/>
      <w:r>
        <w:rPr>
          <w:rFonts w:hint="eastAsia" w:ascii="宋体" w:hAnsi="宋体"/>
          <w:sz w:val="32"/>
          <w:szCs w:val="30"/>
          <w:highlight w:val="none"/>
        </w:rPr>
        <w:t>第二部分 合同通用条款</w:t>
      </w:r>
      <w:bookmarkEnd w:id="9"/>
    </w:p>
    <w:p w14:paraId="2ADE8602">
      <w:pPr>
        <w:pStyle w:val="3"/>
        <w:spacing w:line="240" w:lineRule="auto"/>
        <w:rPr>
          <w:rFonts w:ascii="宋体" w:hAnsi="宋体" w:eastAsia="宋体" w:cs="新宋体"/>
          <w:sz w:val="24"/>
          <w:szCs w:val="24"/>
          <w:highlight w:val="none"/>
        </w:rPr>
      </w:pPr>
      <w:bookmarkStart w:id="10" w:name="_Toc452384208"/>
      <w:r>
        <w:rPr>
          <w:rFonts w:ascii="宋体" w:hAnsi="宋体" w:eastAsia="宋体" w:cs="新宋体"/>
          <w:sz w:val="24"/>
          <w:szCs w:val="24"/>
          <w:highlight w:val="none"/>
        </w:rPr>
        <w:t>1</w:t>
      </w:r>
      <w:r>
        <w:rPr>
          <w:rFonts w:hint="eastAsia" w:ascii="宋体" w:hAnsi="宋体" w:eastAsia="宋体" w:cs="新宋体"/>
          <w:sz w:val="24"/>
          <w:szCs w:val="24"/>
          <w:highlight w:val="none"/>
        </w:rPr>
        <w:t>．定义</w:t>
      </w:r>
      <w:bookmarkEnd w:id="10"/>
    </w:p>
    <w:p w14:paraId="61F06A83">
      <w:pPr>
        <w:snapToGrid w:val="0"/>
        <w:spacing w:line="276" w:lineRule="auto"/>
        <w:rPr>
          <w:rFonts w:hAnsi="宋体" w:cs="新宋体"/>
          <w:sz w:val="24"/>
          <w:szCs w:val="24"/>
          <w:highlight w:val="none"/>
        </w:rPr>
      </w:pPr>
      <w:r>
        <w:rPr>
          <w:rFonts w:hint="eastAsia" w:hAnsi="宋体" w:cs="新宋体"/>
          <w:sz w:val="24"/>
          <w:szCs w:val="24"/>
          <w:highlight w:val="none"/>
        </w:rPr>
        <w:t>本合同下列术语应解释为：</w:t>
      </w:r>
    </w:p>
    <w:p w14:paraId="24A8AC50">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1.1 </w:t>
      </w:r>
      <w:r>
        <w:rPr>
          <w:rFonts w:hint="eastAsia" w:hAnsi="宋体" w:cs="新宋体"/>
          <w:sz w:val="24"/>
          <w:szCs w:val="24"/>
          <w:highlight w:val="none"/>
        </w:rPr>
        <w:t>“合同”系指甲方和乙方（以下简称合同双方）签署的、合同格式中列明的合同双方所达成的协议，包括所有的附件、附录和构成合同的所有文件。</w:t>
      </w:r>
    </w:p>
    <w:p w14:paraId="13242531">
      <w:pPr>
        <w:snapToGrid w:val="0"/>
        <w:spacing w:line="276" w:lineRule="auto"/>
        <w:rPr>
          <w:rFonts w:hAnsi="宋体" w:cs="新宋体"/>
          <w:sz w:val="24"/>
          <w:szCs w:val="24"/>
          <w:highlight w:val="none"/>
        </w:rPr>
      </w:pPr>
      <w:r>
        <w:rPr>
          <w:rFonts w:hAnsi="宋体" w:cs="新宋体"/>
          <w:sz w:val="24"/>
          <w:szCs w:val="24"/>
          <w:highlight w:val="none"/>
        </w:rPr>
        <w:t xml:space="preserve">1.2 </w:t>
      </w:r>
      <w:r>
        <w:rPr>
          <w:rFonts w:hint="eastAsia" w:hAnsi="宋体" w:cs="新宋体"/>
          <w:sz w:val="24"/>
          <w:szCs w:val="24"/>
          <w:highlight w:val="none"/>
        </w:rPr>
        <w:t>“合同价”系指根据合同规定，乙方在完全履行合同义务后甲方应付给乙方的价格。</w:t>
      </w:r>
    </w:p>
    <w:p w14:paraId="09301904">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1.3 </w:t>
      </w:r>
      <w:r>
        <w:rPr>
          <w:rFonts w:hint="eastAsia" w:hAnsi="宋体" w:cs="新宋体"/>
          <w:sz w:val="24"/>
          <w:szCs w:val="24"/>
          <w:highlight w:val="none"/>
        </w:rPr>
        <w:t>“货物（含软件及相关服务）”系指乙方按合同要求，须向甲方提供的一切设备、机械、仪器、备件、工具、技术及手册等有关资料。</w:t>
      </w:r>
    </w:p>
    <w:p w14:paraId="18162DC7">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1.4 </w:t>
      </w:r>
      <w:r>
        <w:rPr>
          <w:rFonts w:hint="eastAsia" w:hAnsi="宋体" w:cs="新宋体"/>
          <w:sz w:val="24"/>
          <w:szCs w:val="24"/>
          <w:highlight w:val="none"/>
        </w:rPr>
        <w:t>“服务”系指根据合同规定乙方承担与供货有关的所有辅助服务，如运输、保险以及其它的服务，如安装、调试、提供技术援助、培训及其他类似的义务。</w:t>
      </w:r>
    </w:p>
    <w:p w14:paraId="2A8DAB0D">
      <w:pPr>
        <w:snapToGrid w:val="0"/>
        <w:spacing w:line="276" w:lineRule="auto"/>
        <w:rPr>
          <w:rFonts w:hAnsi="宋体" w:cs="新宋体"/>
          <w:sz w:val="24"/>
          <w:szCs w:val="24"/>
          <w:highlight w:val="none"/>
        </w:rPr>
      </w:pPr>
      <w:r>
        <w:rPr>
          <w:rFonts w:hAnsi="宋体" w:cs="新宋体"/>
          <w:sz w:val="24"/>
          <w:szCs w:val="24"/>
          <w:highlight w:val="none"/>
        </w:rPr>
        <w:t xml:space="preserve">1.5 </w:t>
      </w:r>
      <w:r>
        <w:rPr>
          <w:rFonts w:hint="eastAsia" w:hAnsi="宋体" w:cs="新宋体"/>
          <w:sz w:val="24"/>
          <w:szCs w:val="24"/>
          <w:highlight w:val="none"/>
        </w:rPr>
        <w:t>“甲方”系指购买货物（含软件及相关服务）的单位。</w:t>
      </w:r>
    </w:p>
    <w:p w14:paraId="61E68AE7">
      <w:pPr>
        <w:snapToGrid w:val="0"/>
        <w:spacing w:line="276" w:lineRule="auto"/>
        <w:rPr>
          <w:rFonts w:hAnsi="宋体" w:cs="新宋体"/>
          <w:sz w:val="24"/>
          <w:szCs w:val="24"/>
          <w:highlight w:val="none"/>
        </w:rPr>
      </w:pPr>
      <w:r>
        <w:rPr>
          <w:rFonts w:hAnsi="宋体" w:cs="新宋体"/>
          <w:sz w:val="24"/>
          <w:szCs w:val="24"/>
          <w:highlight w:val="none"/>
        </w:rPr>
        <w:t xml:space="preserve">1.6 </w:t>
      </w:r>
      <w:r>
        <w:rPr>
          <w:rFonts w:hint="eastAsia" w:hAnsi="宋体" w:cs="新宋体"/>
          <w:sz w:val="24"/>
          <w:szCs w:val="24"/>
          <w:highlight w:val="none"/>
        </w:rPr>
        <w:t>“乙方”系指根据合同规定提供货物（含软件及相关服务）和服务的制造商或代理商。</w:t>
      </w:r>
    </w:p>
    <w:p w14:paraId="6230CA67">
      <w:pPr>
        <w:snapToGrid w:val="0"/>
        <w:spacing w:line="276" w:lineRule="auto"/>
        <w:rPr>
          <w:rFonts w:hAnsi="宋体" w:cs="新宋体"/>
          <w:sz w:val="24"/>
          <w:szCs w:val="24"/>
          <w:highlight w:val="none"/>
        </w:rPr>
      </w:pPr>
      <w:r>
        <w:rPr>
          <w:rFonts w:hAnsi="宋体" w:cs="新宋体"/>
          <w:sz w:val="24"/>
          <w:szCs w:val="24"/>
          <w:highlight w:val="none"/>
        </w:rPr>
        <w:t xml:space="preserve">1.7 </w:t>
      </w:r>
      <w:r>
        <w:rPr>
          <w:rFonts w:hint="eastAsia" w:hAnsi="宋体" w:cs="新宋体"/>
          <w:sz w:val="24"/>
          <w:szCs w:val="24"/>
          <w:highlight w:val="none"/>
        </w:rPr>
        <w:t>“现场”系指将要进行货物（含软件及相关服务）安装和调试的地点。</w:t>
      </w:r>
    </w:p>
    <w:p w14:paraId="6457AC97">
      <w:pPr>
        <w:pStyle w:val="3"/>
        <w:spacing w:before="100" w:beforeAutospacing="1" w:after="100" w:afterAutospacing="1" w:line="240" w:lineRule="auto"/>
        <w:rPr>
          <w:rFonts w:ascii="宋体" w:hAnsi="宋体" w:eastAsia="宋体" w:cs="新宋体"/>
          <w:sz w:val="24"/>
          <w:szCs w:val="24"/>
          <w:highlight w:val="none"/>
        </w:rPr>
      </w:pPr>
      <w:bookmarkStart w:id="11" w:name="_Toc452384209"/>
      <w:r>
        <w:rPr>
          <w:rFonts w:ascii="宋体" w:hAnsi="宋体" w:eastAsia="宋体" w:cs="新宋体"/>
          <w:sz w:val="24"/>
          <w:szCs w:val="24"/>
          <w:highlight w:val="none"/>
        </w:rPr>
        <w:t>2</w:t>
      </w:r>
      <w:r>
        <w:rPr>
          <w:rFonts w:hint="eastAsia" w:ascii="宋体" w:hAnsi="宋体" w:eastAsia="宋体" w:cs="新宋体"/>
          <w:sz w:val="24"/>
          <w:szCs w:val="24"/>
          <w:highlight w:val="none"/>
        </w:rPr>
        <w:t>．技术规范</w:t>
      </w:r>
      <w:bookmarkEnd w:id="11"/>
    </w:p>
    <w:p w14:paraId="7D165498">
      <w:pPr>
        <w:snapToGrid w:val="0"/>
        <w:spacing w:line="276" w:lineRule="auto"/>
        <w:ind w:firstLine="480" w:firstLineChars="200"/>
        <w:rPr>
          <w:rFonts w:hAnsi="宋体" w:cs="新宋体"/>
          <w:bCs/>
          <w:sz w:val="24"/>
          <w:szCs w:val="24"/>
          <w:highlight w:val="none"/>
        </w:rPr>
      </w:pPr>
      <w:r>
        <w:rPr>
          <w:rFonts w:hint="eastAsia" w:hAnsi="宋体" w:cs="新宋体"/>
          <w:sz w:val="24"/>
          <w:szCs w:val="24"/>
          <w:highlight w:val="none"/>
        </w:rPr>
        <w:t>乙方提交的货物（含软件及相关服务）的技术规范应与采购文件的技术规范和技术规范附件（如有）及其投标文件的规格响应表（如果被甲方接受）相一致。若技术规范中无相应说明，则以国家有关部门最新颁布的相应标准及规范为准。</w:t>
      </w:r>
    </w:p>
    <w:p w14:paraId="172C2032">
      <w:pPr>
        <w:pStyle w:val="3"/>
        <w:spacing w:line="240" w:lineRule="auto"/>
        <w:rPr>
          <w:rFonts w:ascii="宋体" w:hAnsi="宋体" w:eastAsia="宋体" w:cs="新宋体"/>
          <w:sz w:val="24"/>
          <w:szCs w:val="24"/>
          <w:highlight w:val="none"/>
        </w:rPr>
      </w:pPr>
      <w:bookmarkStart w:id="12" w:name="_Toc452384210"/>
      <w:r>
        <w:rPr>
          <w:rFonts w:ascii="宋体" w:hAnsi="宋体" w:eastAsia="宋体" w:cs="新宋体"/>
          <w:sz w:val="24"/>
          <w:szCs w:val="24"/>
          <w:highlight w:val="none"/>
        </w:rPr>
        <w:t>3</w:t>
      </w:r>
      <w:r>
        <w:rPr>
          <w:rFonts w:hint="eastAsia" w:ascii="宋体" w:hAnsi="宋体" w:eastAsia="宋体" w:cs="新宋体"/>
          <w:sz w:val="24"/>
          <w:szCs w:val="24"/>
          <w:highlight w:val="none"/>
        </w:rPr>
        <w:t>．知识产权</w:t>
      </w:r>
      <w:bookmarkEnd w:id="12"/>
    </w:p>
    <w:p w14:paraId="08D11A8D">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乙方须保障甲方在使用该货物（含软件及相关服务）或其任何一部分时不受到第三方关于侵犯专利权、商标权、著作权、专有技术等权利的指控。如果任何第三方提出侵权指控，乙方须与第三方交涉并承担可能发生的一切损失和费用。</w:t>
      </w:r>
    </w:p>
    <w:p w14:paraId="5EC3FDD5">
      <w:pPr>
        <w:pStyle w:val="3"/>
        <w:spacing w:line="240" w:lineRule="auto"/>
        <w:rPr>
          <w:rFonts w:ascii="宋体" w:hAnsi="宋体" w:eastAsia="宋体" w:cs="新宋体"/>
          <w:sz w:val="24"/>
          <w:szCs w:val="24"/>
          <w:highlight w:val="none"/>
        </w:rPr>
      </w:pPr>
      <w:bookmarkStart w:id="13" w:name="_Toc452384211"/>
      <w:r>
        <w:rPr>
          <w:rFonts w:ascii="宋体" w:hAnsi="宋体" w:eastAsia="宋体" w:cs="新宋体"/>
          <w:sz w:val="24"/>
          <w:szCs w:val="24"/>
          <w:highlight w:val="none"/>
        </w:rPr>
        <w:t>4</w:t>
      </w:r>
      <w:r>
        <w:rPr>
          <w:rFonts w:hint="eastAsia" w:ascii="宋体" w:hAnsi="宋体" w:eastAsia="宋体" w:cs="新宋体"/>
          <w:sz w:val="24"/>
          <w:szCs w:val="24"/>
          <w:highlight w:val="none"/>
        </w:rPr>
        <w:t>．包装要求</w:t>
      </w:r>
      <w:bookmarkEnd w:id="13"/>
    </w:p>
    <w:p w14:paraId="4BDEA4FE">
      <w:pPr>
        <w:snapToGrid w:val="0"/>
        <w:spacing w:line="276" w:lineRule="auto"/>
        <w:ind w:left="480" w:hanging="480" w:hangingChars="200"/>
        <w:rPr>
          <w:rFonts w:hAnsi="宋体" w:cs="新宋体"/>
          <w:sz w:val="24"/>
          <w:szCs w:val="24"/>
          <w:highlight w:val="none"/>
        </w:rPr>
      </w:pPr>
      <w:r>
        <w:rPr>
          <w:rFonts w:hAnsi="宋体" w:cs="新宋体"/>
          <w:sz w:val="24"/>
          <w:szCs w:val="24"/>
          <w:highlight w:val="none"/>
        </w:rPr>
        <w:t>4.1</w:t>
      </w:r>
      <w:r>
        <w:rPr>
          <w:rFonts w:hint="eastAsia" w:hAnsi="宋体" w:cs="新宋体"/>
          <w:sz w:val="24"/>
          <w:szCs w:val="24"/>
          <w:highlight w:val="none"/>
        </w:rPr>
        <w:t>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损失、灭失均由乙方承担。</w:t>
      </w:r>
    </w:p>
    <w:p w14:paraId="4D3CB021">
      <w:pPr>
        <w:snapToGrid w:val="0"/>
        <w:spacing w:line="276" w:lineRule="auto"/>
        <w:rPr>
          <w:rFonts w:hAnsi="宋体" w:cs="新宋体"/>
          <w:sz w:val="24"/>
          <w:szCs w:val="24"/>
          <w:highlight w:val="none"/>
        </w:rPr>
      </w:pPr>
      <w:r>
        <w:rPr>
          <w:rFonts w:hAnsi="宋体" w:cs="新宋体"/>
          <w:sz w:val="24"/>
          <w:szCs w:val="24"/>
          <w:highlight w:val="none"/>
        </w:rPr>
        <w:t xml:space="preserve">4.2 </w:t>
      </w:r>
      <w:r>
        <w:rPr>
          <w:rFonts w:hint="eastAsia" w:hAnsi="宋体" w:cs="新宋体"/>
          <w:sz w:val="24"/>
          <w:szCs w:val="24"/>
          <w:highlight w:val="none"/>
        </w:rPr>
        <w:t>每件包装箱内应附一份详细装箱单和质量合格证。</w:t>
      </w:r>
    </w:p>
    <w:p w14:paraId="43BEC22C">
      <w:pPr>
        <w:pStyle w:val="3"/>
        <w:spacing w:line="240" w:lineRule="auto"/>
        <w:rPr>
          <w:rFonts w:ascii="宋体" w:hAnsi="宋体" w:eastAsia="宋体" w:cs="新宋体"/>
          <w:sz w:val="24"/>
          <w:szCs w:val="24"/>
          <w:highlight w:val="none"/>
        </w:rPr>
      </w:pPr>
      <w:bookmarkStart w:id="14" w:name="_Toc452384212"/>
      <w:r>
        <w:rPr>
          <w:rFonts w:ascii="宋体" w:hAnsi="宋体" w:eastAsia="宋体" w:cs="新宋体"/>
          <w:sz w:val="24"/>
          <w:szCs w:val="24"/>
          <w:highlight w:val="none"/>
        </w:rPr>
        <w:t>5</w:t>
      </w:r>
      <w:r>
        <w:rPr>
          <w:rFonts w:hint="eastAsia" w:ascii="宋体" w:hAnsi="宋体" w:eastAsia="宋体" w:cs="新宋体"/>
          <w:sz w:val="24"/>
          <w:szCs w:val="24"/>
          <w:highlight w:val="none"/>
        </w:rPr>
        <w:t>．装运标志</w:t>
      </w:r>
      <w:bookmarkEnd w:id="14"/>
    </w:p>
    <w:p w14:paraId="6BAB7492">
      <w:pPr>
        <w:snapToGrid w:val="0"/>
        <w:spacing w:line="276" w:lineRule="auto"/>
        <w:rPr>
          <w:rFonts w:hAnsi="宋体" w:cs="新宋体"/>
          <w:sz w:val="24"/>
          <w:szCs w:val="24"/>
          <w:highlight w:val="none"/>
        </w:rPr>
      </w:pPr>
      <w:r>
        <w:rPr>
          <w:rFonts w:hAnsi="宋体" w:cs="新宋体"/>
          <w:sz w:val="24"/>
          <w:szCs w:val="24"/>
          <w:highlight w:val="none"/>
        </w:rPr>
        <w:t xml:space="preserve">5.1 </w:t>
      </w:r>
      <w:r>
        <w:rPr>
          <w:rFonts w:hint="eastAsia" w:hAnsi="宋体" w:cs="新宋体"/>
          <w:sz w:val="24"/>
          <w:szCs w:val="24"/>
          <w:highlight w:val="none"/>
        </w:rPr>
        <w:t>乙方应在每一包装箱邻接的四侧用不褪色的油漆以醒目的中文字样做出下列标记：</w:t>
      </w:r>
    </w:p>
    <w:p w14:paraId="59654109">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l</w:t>
      </w:r>
      <w:r>
        <w:rPr>
          <w:rFonts w:hint="eastAsia" w:hAnsi="宋体" w:cs="新宋体"/>
          <w:sz w:val="24"/>
          <w:szCs w:val="24"/>
          <w:highlight w:val="none"/>
        </w:rPr>
        <w:t>）收货人；</w:t>
      </w:r>
    </w:p>
    <w:p w14:paraId="5C0EE590">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2</w:t>
      </w:r>
      <w:r>
        <w:rPr>
          <w:rFonts w:hint="eastAsia" w:hAnsi="宋体" w:cs="新宋体"/>
          <w:sz w:val="24"/>
          <w:szCs w:val="24"/>
          <w:highlight w:val="none"/>
        </w:rPr>
        <w:t>）合同号；</w:t>
      </w:r>
    </w:p>
    <w:p w14:paraId="27944737">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3</w:t>
      </w:r>
      <w:r>
        <w:rPr>
          <w:rFonts w:hint="eastAsia" w:hAnsi="宋体" w:cs="新宋体"/>
          <w:sz w:val="24"/>
          <w:szCs w:val="24"/>
          <w:highlight w:val="none"/>
        </w:rPr>
        <w:t>）装运标志；</w:t>
      </w:r>
    </w:p>
    <w:p w14:paraId="0A716FB4">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4</w:t>
      </w:r>
      <w:r>
        <w:rPr>
          <w:rFonts w:hint="eastAsia" w:hAnsi="宋体" w:cs="新宋体"/>
          <w:sz w:val="24"/>
          <w:szCs w:val="24"/>
          <w:highlight w:val="none"/>
        </w:rPr>
        <w:t>）收货人代号；</w:t>
      </w:r>
    </w:p>
    <w:p w14:paraId="6B204D0C">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5</w:t>
      </w:r>
      <w:r>
        <w:rPr>
          <w:rFonts w:hint="eastAsia" w:hAnsi="宋体" w:cs="新宋体"/>
          <w:sz w:val="24"/>
          <w:szCs w:val="24"/>
          <w:highlight w:val="none"/>
        </w:rPr>
        <w:t>）目的地；</w:t>
      </w:r>
    </w:p>
    <w:p w14:paraId="37EC2B11">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6</w:t>
      </w:r>
      <w:r>
        <w:rPr>
          <w:rFonts w:hint="eastAsia" w:hAnsi="宋体" w:cs="新宋体"/>
          <w:sz w:val="24"/>
          <w:szCs w:val="24"/>
          <w:highlight w:val="none"/>
        </w:rPr>
        <w:t>）货物（含软件及相关服务）名称、品目号和箱号；</w:t>
      </w:r>
    </w:p>
    <w:p w14:paraId="2DCC94A5">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7</w:t>
      </w:r>
      <w:r>
        <w:rPr>
          <w:rFonts w:hint="eastAsia" w:hAnsi="宋体" w:cs="新宋体"/>
          <w:sz w:val="24"/>
          <w:szCs w:val="24"/>
          <w:highlight w:val="none"/>
        </w:rPr>
        <w:t>）毛重／净重；</w:t>
      </w:r>
    </w:p>
    <w:p w14:paraId="6133FEE0">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8</w:t>
      </w:r>
      <w:r>
        <w:rPr>
          <w:rFonts w:hint="eastAsia" w:hAnsi="宋体" w:cs="新宋体"/>
          <w:sz w:val="24"/>
          <w:szCs w:val="24"/>
          <w:highlight w:val="none"/>
        </w:rPr>
        <w:t>）尺寸（长</w:t>
      </w:r>
      <w:r>
        <w:rPr>
          <w:rFonts w:hAnsi="宋体" w:cs="新宋体"/>
          <w:sz w:val="24"/>
          <w:szCs w:val="24"/>
          <w:highlight w:val="none"/>
        </w:rPr>
        <w:t>X</w:t>
      </w:r>
      <w:r>
        <w:rPr>
          <w:rFonts w:hint="eastAsia" w:hAnsi="宋体" w:cs="新宋体"/>
          <w:sz w:val="24"/>
          <w:szCs w:val="24"/>
          <w:highlight w:val="none"/>
        </w:rPr>
        <w:t>宽</w:t>
      </w:r>
      <w:r>
        <w:rPr>
          <w:rFonts w:hAnsi="宋体" w:cs="新宋体"/>
          <w:sz w:val="24"/>
          <w:szCs w:val="24"/>
          <w:highlight w:val="none"/>
        </w:rPr>
        <w:t>X</w:t>
      </w:r>
      <w:r>
        <w:rPr>
          <w:rFonts w:hint="eastAsia" w:hAnsi="宋体" w:cs="新宋体"/>
          <w:sz w:val="24"/>
          <w:szCs w:val="24"/>
          <w:highlight w:val="none"/>
        </w:rPr>
        <w:t>高，以厘米计）。</w:t>
      </w:r>
    </w:p>
    <w:p w14:paraId="5790D825">
      <w:pPr>
        <w:snapToGrid w:val="0"/>
        <w:spacing w:line="276" w:lineRule="auto"/>
        <w:ind w:left="480" w:hanging="480" w:hangingChars="200"/>
        <w:rPr>
          <w:rFonts w:hAnsi="宋体" w:cs="新宋体"/>
          <w:sz w:val="24"/>
          <w:szCs w:val="24"/>
          <w:highlight w:val="none"/>
        </w:rPr>
      </w:pPr>
      <w:r>
        <w:rPr>
          <w:rFonts w:hAnsi="宋体" w:cs="新宋体"/>
          <w:sz w:val="24"/>
          <w:szCs w:val="24"/>
          <w:highlight w:val="none"/>
        </w:rPr>
        <w:t xml:space="preserve">5.2 </w:t>
      </w:r>
      <w:r>
        <w:rPr>
          <w:rFonts w:hint="eastAsia" w:hAnsi="宋体" w:cs="新宋体"/>
          <w:sz w:val="24"/>
          <w:szCs w:val="24"/>
          <w:highlight w:val="none"/>
        </w:rPr>
        <w:t>根据货物（含软件及相关服务）的特点和运输的不同要求，乙方应在包装箱上清楚地标有“小心轻放”、“勿倒置”、“防潮”等字样和其他适当的标记。如果货物（含软件及相关服务）单件重量在两吨或两吨以上，乙方应在每件包装箱的两侧用中文和适当的运输标志标明“重心”和“吊装点”，以便装卸和搬运。</w:t>
      </w:r>
    </w:p>
    <w:p w14:paraId="7A33F443">
      <w:pPr>
        <w:snapToGrid w:val="0"/>
        <w:spacing w:line="276" w:lineRule="auto"/>
        <w:ind w:left="480" w:hanging="480" w:hangingChars="200"/>
        <w:rPr>
          <w:rFonts w:hAnsi="宋体" w:cs="新宋体"/>
          <w:sz w:val="24"/>
          <w:szCs w:val="24"/>
          <w:highlight w:val="none"/>
        </w:rPr>
      </w:pPr>
      <w:r>
        <w:rPr>
          <w:rFonts w:hAnsi="宋体" w:cs="新宋体"/>
          <w:sz w:val="24"/>
          <w:szCs w:val="24"/>
          <w:highlight w:val="none"/>
        </w:rPr>
        <w:t xml:space="preserve">5.3 </w:t>
      </w:r>
      <w:r>
        <w:rPr>
          <w:rFonts w:hint="eastAsia" w:hAnsi="宋体" w:cs="新宋体"/>
          <w:sz w:val="24"/>
          <w:szCs w:val="24"/>
          <w:highlight w:val="none"/>
        </w:rPr>
        <w:t>因缺少装运标志或者装运标志不明确导致货物在运输、装卸过程中产生的损失，乙方应承担相应责任。</w:t>
      </w:r>
    </w:p>
    <w:p w14:paraId="19988577">
      <w:pPr>
        <w:pStyle w:val="3"/>
        <w:spacing w:line="240" w:lineRule="auto"/>
        <w:rPr>
          <w:rFonts w:ascii="宋体" w:hAnsi="宋体" w:eastAsia="宋体" w:cs="新宋体"/>
          <w:sz w:val="24"/>
          <w:szCs w:val="24"/>
          <w:highlight w:val="none"/>
        </w:rPr>
      </w:pPr>
      <w:bookmarkStart w:id="15" w:name="_Toc452384213"/>
      <w:r>
        <w:rPr>
          <w:rFonts w:ascii="宋体" w:hAnsi="宋体" w:eastAsia="宋体" w:cs="新宋体"/>
          <w:sz w:val="24"/>
          <w:szCs w:val="24"/>
          <w:highlight w:val="none"/>
        </w:rPr>
        <w:t>6</w:t>
      </w:r>
      <w:r>
        <w:rPr>
          <w:rFonts w:hint="eastAsia" w:ascii="宋体" w:hAnsi="宋体" w:eastAsia="宋体" w:cs="新宋体"/>
          <w:sz w:val="24"/>
          <w:szCs w:val="24"/>
          <w:highlight w:val="none"/>
        </w:rPr>
        <w:t>．交货方式</w:t>
      </w:r>
      <w:bookmarkEnd w:id="15"/>
    </w:p>
    <w:p w14:paraId="1D6AFB63">
      <w:pPr>
        <w:snapToGrid w:val="0"/>
        <w:spacing w:line="276" w:lineRule="auto"/>
        <w:ind w:left="425" w:hanging="424" w:hangingChars="177"/>
        <w:rPr>
          <w:rFonts w:hAnsi="宋体" w:cs="新宋体"/>
          <w:sz w:val="24"/>
          <w:szCs w:val="24"/>
          <w:highlight w:val="none"/>
        </w:rPr>
      </w:pPr>
      <w:r>
        <w:rPr>
          <w:rFonts w:hAnsi="宋体" w:cs="新宋体"/>
          <w:sz w:val="24"/>
          <w:szCs w:val="24"/>
          <w:highlight w:val="none"/>
        </w:rPr>
        <w:t>6.1</w:t>
      </w:r>
      <w:r>
        <w:rPr>
          <w:rFonts w:hint="eastAsia" w:hAnsi="宋体" w:cs="新宋体"/>
          <w:sz w:val="24"/>
          <w:szCs w:val="24"/>
          <w:highlight w:val="none"/>
        </w:rPr>
        <w:t>现场交货：乙方负责办理运输和保险，将货物（含软件及相关服务）运抵现场。有关运输和保险的一切费用由乙方承担。所有货物（含软件及相关服务）运抵现扬的日期为交货日期。</w:t>
      </w:r>
    </w:p>
    <w:p w14:paraId="0FC69A48">
      <w:pPr>
        <w:snapToGrid w:val="0"/>
        <w:spacing w:line="276" w:lineRule="auto"/>
        <w:ind w:left="480" w:hanging="480" w:hangingChars="200"/>
        <w:rPr>
          <w:rFonts w:hAnsi="宋体" w:cs="新宋体"/>
          <w:sz w:val="24"/>
          <w:szCs w:val="24"/>
          <w:highlight w:val="none"/>
        </w:rPr>
      </w:pPr>
      <w:r>
        <w:rPr>
          <w:rFonts w:hAnsi="宋体" w:cs="新宋体"/>
          <w:sz w:val="24"/>
          <w:szCs w:val="24"/>
          <w:highlight w:val="none"/>
        </w:rPr>
        <w:t xml:space="preserve">6.2 </w:t>
      </w:r>
      <w:r>
        <w:rPr>
          <w:rFonts w:hint="eastAsia" w:hAnsi="宋体" w:cs="新宋体"/>
          <w:sz w:val="24"/>
          <w:szCs w:val="24"/>
          <w:highlight w:val="none"/>
        </w:rPr>
        <w:t>乙方应在合同规定的交货期前三十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w:t>
      </w:r>
      <w:r>
        <w:rPr>
          <w:rFonts w:hAnsi="宋体" w:cs="新宋体"/>
          <w:sz w:val="24"/>
          <w:szCs w:val="24"/>
          <w:highlight w:val="none"/>
        </w:rPr>
        <w:t>X</w:t>
      </w:r>
      <w:r>
        <w:rPr>
          <w:rFonts w:hint="eastAsia" w:hAnsi="宋体" w:cs="新宋体"/>
          <w:sz w:val="24"/>
          <w:szCs w:val="24"/>
          <w:highlight w:val="none"/>
        </w:rPr>
        <w:t>宽</w:t>
      </w:r>
      <w:r>
        <w:rPr>
          <w:rFonts w:hAnsi="宋体" w:cs="新宋体"/>
          <w:sz w:val="24"/>
          <w:szCs w:val="24"/>
          <w:highlight w:val="none"/>
        </w:rPr>
        <w:t>X</w:t>
      </w:r>
      <w:r>
        <w:rPr>
          <w:rFonts w:hint="eastAsia" w:hAnsi="宋体" w:cs="新宋体"/>
          <w:sz w:val="24"/>
          <w:szCs w:val="24"/>
          <w:highlight w:val="none"/>
        </w:rPr>
        <w:t>高）、单价、总价和备妥待交日期以及对货物（含软件及相关服务）在运输和仓储的特殊要求和注意事项通知甲方。</w:t>
      </w:r>
    </w:p>
    <w:p w14:paraId="7D3B1A11">
      <w:pPr>
        <w:snapToGrid w:val="0"/>
        <w:spacing w:line="276" w:lineRule="auto"/>
        <w:ind w:left="480" w:hanging="480" w:hangingChars="200"/>
        <w:rPr>
          <w:rFonts w:hAnsi="宋体" w:cs="新宋体"/>
          <w:sz w:val="24"/>
          <w:szCs w:val="24"/>
          <w:highlight w:val="none"/>
        </w:rPr>
      </w:pPr>
      <w:r>
        <w:rPr>
          <w:rFonts w:hAnsi="宋体" w:cs="新宋体"/>
          <w:sz w:val="24"/>
          <w:szCs w:val="24"/>
          <w:highlight w:val="none"/>
        </w:rPr>
        <w:t xml:space="preserve">6.3 </w:t>
      </w:r>
      <w:r>
        <w:rPr>
          <w:rFonts w:hint="eastAsia" w:hAnsi="宋体" w:cs="新宋体"/>
          <w:sz w:val="24"/>
          <w:szCs w:val="24"/>
          <w:highlight w:val="none"/>
        </w:rPr>
        <w:t>在现场交货交货条件下，乙方装运的货物（含软件及相关服务）不应超过合同规定的数量或重量。否则，乙方应对超运部分的数量或重量而引起的一切后果负责。</w:t>
      </w:r>
    </w:p>
    <w:p w14:paraId="54B5E5CB">
      <w:pPr>
        <w:pStyle w:val="3"/>
        <w:spacing w:line="240" w:lineRule="auto"/>
        <w:rPr>
          <w:rFonts w:ascii="宋体" w:hAnsi="宋体" w:eastAsia="宋体" w:cs="新宋体"/>
          <w:sz w:val="24"/>
          <w:szCs w:val="24"/>
          <w:highlight w:val="none"/>
        </w:rPr>
      </w:pPr>
      <w:bookmarkStart w:id="16" w:name="_Toc452384214"/>
      <w:r>
        <w:rPr>
          <w:rFonts w:ascii="宋体" w:hAnsi="宋体" w:eastAsia="宋体" w:cs="新宋体"/>
          <w:sz w:val="24"/>
          <w:szCs w:val="24"/>
          <w:highlight w:val="none"/>
        </w:rPr>
        <w:t>7</w:t>
      </w:r>
      <w:r>
        <w:rPr>
          <w:rFonts w:hint="eastAsia" w:ascii="宋体" w:hAnsi="宋体" w:eastAsia="宋体" w:cs="新宋体"/>
          <w:sz w:val="24"/>
          <w:szCs w:val="24"/>
          <w:highlight w:val="none"/>
        </w:rPr>
        <w:t>．装运通知</w:t>
      </w:r>
      <w:bookmarkEnd w:id="16"/>
    </w:p>
    <w:p w14:paraId="15D0D248">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现场交货条件下的货物（含软件及相关服务），在乙方已通知甲方货物（含软件及相关服务）已备妥待运输后二十四小时之内，乙方应将合同号、货名、数量、毛重、总体积（立方米）、发票金额、运输工具名称及启运日期，以电报、传真或电传通知甲方。如因乙方延误将上述内容用电报、传真或电传通知甲方，由此引起的一切损失应由乙方负担。</w:t>
      </w:r>
    </w:p>
    <w:p w14:paraId="65F2F289">
      <w:pPr>
        <w:pStyle w:val="3"/>
        <w:spacing w:line="240" w:lineRule="auto"/>
        <w:rPr>
          <w:rFonts w:ascii="宋体" w:hAnsi="宋体" w:eastAsia="宋体" w:cs="新宋体"/>
          <w:sz w:val="24"/>
          <w:szCs w:val="24"/>
          <w:highlight w:val="none"/>
        </w:rPr>
      </w:pPr>
      <w:bookmarkStart w:id="17" w:name="_Toc452384215"/>
      <w:r>
        <w:rPr>
          <w:rFonts w:ascii="宋体" w:hAnsi="宋体" w:eastAsia="宋体" w:cs="新宋体"/>
          <w:sz w:val="24"/>
          <w:szCs w:val="24"/>
          <w:highlight w:val="none"/>
        </w:rPr>
        <w:t>8</w:t>
      </w:r>
      <w:r>
        <w:rPr>
          <w:rFonts w:hint="eastAsia" w:ascii="宋体" w:hAnsi="宋体" w:eastAsia="宋体" w:cs="新宋体"/>
          <w:sz w:val="24"/>
          <w:szCs w:val="24"/>
          <w:highlight w:val="none"/>
        </w:rPr>
        <w:t>．保险</w:t>
      </w:r>
      <w:bookmarkEnd w:id="17"/>
    </w:p>
    <w:p w14:paraId="450DB58B">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由乙方办理货物（含软件及相关服务）运抵现场这一段的保险，保险以人民币按照发票金额的</w:t>
      </w:r>
      <w:r>
        <w:rPr>
          <w:rFonts w:hAnsi="宋体" w:cs="新宋体"/>
          <w:sz w:val="24"/>
          <w:szCs w:val="24"/>
          <w:highlight w:val="none"/>
        </w:rPr>
        <w:t>110</w:t>
      </w:r>
      <w:r>
        <w:rPr>
          <w:rFonts w:hint="eastAsia" w:hAnsi="宋体" w:cs="新宋体"/>
          <w:sz w:val="24"/>
          <w:szCs w:val="24"/>
          <w:highlight w:val="none"/>
        </w:rPr>
        <w:t>％投保“一切险”，保险范围包括乙方承诺装运的货物（含软件及相关服务）；如果货物（含软件及相关服务）是按工厂交货或甲方自提货物（含软件及相关服务）方式报价的，其保险由甲方办理。</w:t>
      </w:r>
    </w:p>
    <w:p w14:paraId="7B4AF560">
      <w:pPr>
        <w:pStyle w:val="3"/>
        <w:spacing w:line="240" w:lineRule="auto"/>
        <w:rPr>
          <w:rFonts w:ascii="宋体" w:hAnsi="宋体" w:eastAsia="宋体" w:cs="新宋体"/>
          <w:sz w:val="24"/>
          <w:szCs w:val="24"/>
          <w:highlight w:val="none"/>
        </w:rPr>
      </w:pPr>
      <w:bookmarkStart w:id="18" w:name="_Toc452384216"/>
      <w:r>
        <w:rPr>
          <w:rFonts w:ascii="宋体" w:hAnsi="宋体" w:eastAsia="宋体" w:cs="新宋体"/>
          <w:sz w:val="24"/>
          <w:szCs w:val="24"/>
          <w:highlight w:val="none"/>
        </w:rPr>
        <w:t>9</w:t>
      </w:r>
      <w:r>
        <w:rPr>
          <w:rFonts w:hint="eastAsia" w:ascii="宋体" w:hAnsi="宋体" w:eastAsia="宋体" w:cs="新宋体"/>
          <w:sz w:val="24"/>
          <w:szCs w:val="24"/>
          <w:highlight w:val="none"/>
        </w:rPr>
        <w:t>．付款方式</w:t>
      </w:r>
      <w:bookmarkEnd w:id="18"/>
    </w:p>
    <w:p w14:paraId="371C372E">
      <w:pPr>
        <w:snapToGrid w:val="0"/>
        <w:rPr>
          <w:rFonts w:hAnsi="宋体" w:cs="新宋体"/>
          <w:szCs w:val="21"/>
          <w:highlight w:val="none"/>
        </w:rPr>
      </w:pPr>
      <w:r>
        <w:rPr>
          <w:rFonts w:hint="eastAsia" w:hAnsi="宋体" w:cs="新宋体"/>
          <w:szCs w:val="21"/>
          <w:highlight w:val="none"/>
        </w:rPr>
        <w:t>付款方式见合同专用条款。</w:t>
      </w:r>
    </w:p>
    <w:p w14:paraId="2F29F250">
      <w:pPr>
        <w:pStyle w:val="3"/>
        <w:spacing w:line="240" w:lineRule="auto"/>
        <w:rPr>
          <w:rFonts w:ascii="宋体" w:hAnsi="宋体" w:eastAsia="宋体" w:cs="新宋体"/>
          <w:sz w:val="24"/>
          <w:szCs w:val="24"/>
          <w:highlight w:val="none"/>
        </w:rPr>
      </w:pPr>
      <w:bookmarkStart w:id="19" w:name="_Toc452384217"/>
      <w:r>
        <w:rPr>
          <w:rFonts w:ascii="宋体" w:hAnsi="宋体" w:eastAsia="宋体" w:cs="新宋体"/>
          <w:sz w:val="24"/>
          <w:szCs w:val="24"/>
          <w:highlight w:val="none"/>
        </w:rPr>
        <w:t>10</w:t>
      </w:r>
      <w:r>
        <w:rPr>
          <w:rFonts w:hint="eastAsia" w:ascii="宋体" w:hAnsi="宋体" w:eastAsia="宋体" w:cs="新宋体"/>
          <w:sz w:val="24"/>
          <w:szCs w:val="24"/>
          <w:highlight w:val="none"/>
        </w:rPr>
        <w:t>．技术资料</w:t>
      </w:r>
      <w:bookmarkEnd w:id="19"/>
    </w:p>
    <w:p w14:paraId="49D2DB61">
      <w:pPr>
        <w:snapToGrid w:val="0"/>
        <w:spacing w:line="276" w:lineRule="auto"/>
        <w:rPr>
          <w:rFonts w:hAnsi="宋体" w:cs="新宋体"/>
          <w:sz w:val="24"/>
          <w:szCs w:val="24"/>
          <w:highlight w:val="none"/>
        </w:rPr>
      </w:pPr>
      <w:r>
        <w:rPr>
          <w:rFonts w:hint="eastAsia" w:hAnsi="宋体" w:cs="新宋体"/>
          <w:sz w:val="24"/>
          <w:szCs w:val="24"/>
          <w:highlight w:val="none"/>
        </w:rPr>
        <w:t>合同项下技术资料将以下列方式交付：</w:t>
      </w:r>
    </w:p>
    <w:p w14:paraId="0E675E6C">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10.1 </w:t>
      </w:r>
      <w:r>
        <w:rPr>
          <w:rFonts w:hint="eastAsia" w:hAnsi="宋体" w:cs="新宋体"/>
          <w:sz w:val="24"/>
          <w:szCs w:val="24"/>
          <w:highlight w:val="none"/>
        </w:rPr>
        <w:t>合同生效后六十天之内，乙方应将每台设备和仪器的中文技术资料一套，如目录索引、图纸、操作手册、使用指南、维修指南和服务手册等交给甲方。</w:t>
      </w:r>
    </w:p>
    <w:p w14:paraId="60B90868">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10.2 </w:t>
      </w:r>
      <w:r>
        <w:rPr>
          <w:rFonts w:hint="eastAsia" w:hAnsi="宋体" w:cs="新宋体"/>
          <w:sz w:val="24"/>
          <w:szCs w:val="24"/>
          <w:highlight w:val="none"/>
        </w:rPr>
        <w:t>另外一套完整的上述资料应包装好随每批货物（含软件及相关服务）一起交付。</w:t>
      </w:r>
    </w:p>
    <w:p w14:paraId="4E0EBFDF">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10.3 </w:t>
      </w:r>
      <w:r>
        <w:rPr>
          <w:rFonts w:hint="eastAsia" w:hAnsi="宋体" w:cs="新宋体"/>
          <w:sz w:val="24"/>
          <w:szCs w:val="24"/>
          <w:highlight w:val="none"/>
        </w:rPr>
        <w:t>如果甲方确认乙方提供的技术资料不完整或在运输过程中丢失，乙方将在收到甲方通知后三天内将这些资料免费交给甲方。</w:t>
      </w:r>
    </w:p>
    <w:p w14:paraId="7897294C">
      <w:pPr>
        <w:pStyle w:val="3"/>
        <w:spacing w:line="240" w:lineRule="auto"/>
        <w:rPr>
          <w:rFonts w:ascii="宋体" w:hAnsi="宋体" w:eastAsia="宋体" w:cs="新宋体"/>
          <w:sz w:val="24"/>
          <w:szCs w:val="24"/>
          <w:highlight w:val="none"/>
        </w:rPr>
      </w:pPr>
      <w:bookmarkStart w:id="20" w:name="_Toc452384218"/>
      <w:r>
        <w:rPr>
          <w:rFonts w:ascii="宋体" w:hAnsi="宋体" w:eastAsia="宋体" w:cs="新宋体"/>
          <w:sz w:val="24"/>
          <w:szCs w:val="24"/>
          <w:highlight w:val="none"/>
        </w:rPr>
        <w:t>11</w:t>
      </w:r>
      <w:r>
        <w:rPr>
          <w:rFonts w:hint="eastAsia" w:ascii="宋体" w:hAnsi="宋体" w:eastAsia="宋体" w:cs="新宋体"/>
          <w:sz w:val="24"/>
          <w:szCs w:val="24"/>
          <w:highlight w:val="none"/>
        </w:rPr>
        <w:t>．质量保证</w:t>
      </w:r>
      <w:bookmarkEnd w:id="20"/>
    </w:p>
    <w:p w14:paraId="3955413C">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11.1 </w:t>
      </w:r>
      <w:r>
        <w:rPr>
          <w:rFonts w:hint="eastAsia" w:hAnsi="宋体" w:cs="新宋体"/>
          <w:sz w:val="24"/>
          <w:szCs w:val="24"/>
          <w:highlight w:val="none"/>
        </w:rPr>
        <w:t>乙方应保证货物（含软件及相关服务）是全新的，未使用过的，按照合同约定的工艺和材料制造而成的，并完全符合合同约定的质量、规格和性能要求。乙方应保证所提供的货物（含软件及相关服务）经正确安装、正常运转和保养在其使用寿命期内应符合合同约定的性能。在货物（含软件及相关服务）质量保证期内，乙方应对由于设计、工艺或材料的缺陷而造成的任何不足或故障负责。</w:t>
      </w:r>
    </w:p>
    <w:p w14:paraId="5A9AFAD2">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11.2 </w:t>
      </w:r>
      <w:r>
        <w:rPr>
          <w:rFonts w:hint="eastAsia" w:hAnsi="宋体" w:cs="新宋体"/>
          <w:sz w:val="24"/>
          <w:szCs w:val="24"/>
          <w:highlight w:val="none"/>
        </w:rPr>
        <w:t>在合同约定的检验期内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知道或应当知道上述情形后一个月内以书面形式通知乙方，提出索赔。</w:t>
      </w:r>
    </w:p>
    <w:p w14:paraId="509650C9">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11.3 </w:t>
      </w:r>
      <w:r>
        <w:rPr>
          <w:rFonts w:hint="eastAsia" w:hAnsi="宋体" w:cs="新宋体"/>
          <w:sz w:val="24"/>
          <w:szCs w:val="24"/>
          <w:highlight w:val="none"/>
        </w:rPr>
        <w:t>乙方在收到通知后三十天内应免费维修或更换有缺陷的货物（含软件及相关服务）或部件。</w:t>
      </w:r>
    </w:p>
    <w:p w14:paraId="05D19799">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11.4 </w:t>
      </w:r>
      <w:r>
        <w:rPr>
          <w:rFonts w:hint="eastAsia" w:hAnsi="宋体" w:cs="新宋体"/>
          <w:sz w:val="24"/>
          <w:szCs w:val="24"/>
          <w:highlight w:val="none"/>
        </w:rPr>
        <w:t>如果乙方在收到通知后三十天内没有弥补缺陷，甲方可采取必要的补救措施，但风险和费用将由乙方承担。</w:t>
      </w:r>
    </w:p>
    <w:p w14:paraId="737BA262">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11.5 </w:t>
      </w:r>
      <w:r>
        <w:rPr>
          <w:rFonts w:hint="eastAsia" w:hAnsi="宋体" w:cs="新宋体"/>
          <w:sz w:val="24"/>
          <w:szCs w:val="24"/>
          <w:highlight w:val="none"/>
        </w:rPr>
        <w:t>除合同专用条款规定外，合同项下货物（含软件及相关服务）的质量保证期为自货物（含软件及相关服务）通过最终验收起十二个月，如国家及其政府相关部门有关规定长于上述保证期的，以该规定为准。</w:t>
      </w:r>
    </w:p>
    <w:p w14:paraId="5BC399B5">
      <w:pPr>
        <w:pStyle w:val="3"/>
        <w:spacing w:line="240" w:lineRule="auto"/>
        <w:rPr>
          <w:rFonts w:ascii="宋体" w:hAnsi="宋体" w:eastAsia="宋体" w:cs="新宋体"/>
          <w:sz w:val="24"/>
          <w:szCs w:val="24"/>
          <w:highlight w:val="none"/>
        </w:rPr>
      </w:pPr>
      <w:bookmarkStart w:id="21" w:name="_Toc452384219"/>
      <w:r>
        <w:rPr>
          <w:rFonts w:ascii="宋体" w:hAnsi="宋体" w:eastAsia="宋体" w:cs="新宋体"/>
          <w:sz w:val="24"/>
          <w:szCs w:val="24"/>
          <w:highlight w:val="none"/>
        </w:rPr>
        <w:t>12.</w:t>
      </w:r>
      <w:r>
        <w:rPr>
          <w:rFonts w:hint="eastAsia" w:ascii="宋体" w:hAnsi="宋体" w:eastAsia="宋体" w:cs="新宋体"/>
          <w:sz w:val="24"/>
          <w:szCs w:val="24"/>
          <w:highlight w:val="none"/>
        </w:rPr>
        <w:t>检验及安装</w:t>
      </w:r>
      <w:bookmarkEnd w:id="21"/>
    </w:p>
    <w:p w14:paraId="1F8C0261">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12.1 </w:t>
      </w:r>
      <w:r>
        <w:rPr>
          <w:rFonts w:hint="eastAsia" w:hAnsi="宋体" w:cs="新宋体"/>
          <w:sz w:val="24"/>
          <w:szCs w:val="24"/>
          <w:highlight w:val="none"/>
        </w:rPr>
        <w:t>在交货前，乙方应当确保制造商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14:paraId="5C30F52B">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12.2 </w:t>
      </w:r>
      <w:r>
        <w:rPr>
          <w:rFonts w:hint="eastAsia" w:hAnsi="宋体" w:cs="新宋体"/>
          <w:sz w:val="24"/>
          <w:szCs w:val="24"/>
          <w:highlight w:val="none"/>
        </w:rPr>
        <w:t>货物（含软件及相关服务）运抵现场后，甲方将合理期限内</w:t>
      </w:r>
      <w:r>
        <w:rPr>
          <w:rFonts w:hAnsi="宋体" w:cs="新宋体"/>
          <w:sz w:val="24"/>
          <w:szCs w:val="24"/>
          <w:highlight w:val="none"/>
        </w:rPr>
        <w:t>(</w:t>
      </w:r>
      <w:r>
        <w:rPr>
          <w:rFonts w:hint="eastAsia" w:hAnsi="宋体" w:cs="新宋体"/>
          <w:sz w:val="24"/>
          <w:szCs w:val="24"/>
          <w:highlight w:val="none"/>
        </w:rPr>
        <w:t>通常不超过两年</w:t>
      </w:r>
      <w:r>
        <w:rPr>
          <w:rFonts w:hAnsi="宋体" w:cs="新宋体"/>
          <w:sz w:val="24"/>
          <w:szCs w:val="24"/>
          <w:highlight w:val="none"/>
        </w:rPr>
        <w:t>)</w:t>
      </w:r>
      <w:r>
        <w:rPr>
          <w:rFonts w:hint="eastAsia" w:hAnsi="宋体" w:cs="新宋体"/>
          <w:sz w:val="24"/>
          <w:szCs w:val="24"/>
          <w:highlight w:val="none"/>
        </w:rPr>
        <w:t>对货物（含软件及相关服务）的质量、规格、数量和重量进行检验，并出具检验证书。如发现货物（含软件及相关服务）的质量或规格或数量或重量与合同不符，甲方有权在货物（含软件及相关服务）知道或应当知道上述情形后一个月内，根据甲方按检验标准自己检验的结果或当地商检部门出具的检验证书向乙方提出索赔。</w:t>
      </w:r>
    </w:p>
    <w:p w14:paraId="0B59277D">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12.3 </w:t>
      </w:r>
      <w:r>
        <w:rPr>
          <w:rFonts w:hint="eastAsia" w:hAnsi="宋体" w:cs="新宋体"/>
          <w:sz w:val="24"/>
          <w:szCs w:val="24"/>
          <w:highlight w:val="none"/>
        </w:rPr>
        <w:t>如果货物（含软件及相关服务）的质量或规格或数量或重量与合同不符，或在第</w:t>
      </w:r>
      <w:r>
        <w:rPr>
          <w:rFonts w:hAnsi="宋体" w:cs="新宋体"/>
          <w:sz w:val="24"/>
          <w:szCs w:val="24"/>
          <w:highlight w:val="none"/>
        </w:rPr>
        <w:t>11</w:t>
      </w:r>
      <w:r>
        <w:rPr>
          <w:rFonts w:hint="eastAsia" w:hAnsi="宋体" w:cs="新宋体"/>
          <w:sz w:val="24"/>
          <w:szCs w:val="24"/>
          <w:highlight w:val="none"/>
        </w:rPr>
        <w:t>条规定的质量保证期内证实货物（含软件及相关服务）是有缺陷的，包括潜在的缺陷或使用不符合要求的材料，甲方将有权向乙方提出索赔。</w:t>
      </w:r>
    </w:p>
    <w:p w14:paraId="2BBC24A7">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12.4 </w:t>
      </w:r>
      <w:r>
        <w:rPr>
          <w:rFonts w:hint="eastAsia" w:hAnsi="宋体" w:cs="新宋体"/>
          <w:sz w:val="24"/>
          <w:szCs w:val="24"/>
          <w:highlight w:val="none"/>
        </w:rPr>
        <w:t>甲方有权提出在货物（含软件及相关服务）制造过程中派人到制造厂进行监造，乙方有义务为甲方监造人员提供方便。</w:t>
      </w:r>
    </w:p>
    <w:p w14:paraId="6CF7B50F">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12.5 </w:t>
      </w:r>
      <w:r>
        <w:rPr>
          <w:rFonts w:hint="eastAsia" w:hAnsi="宋体" w:cs="新宋体"/>
          <w:sz w:val="24"/>
          <w:szCs w:val="24"/>
          <w:highlight w:val="none"/>
        </w:rPr>
        <w:t>制造厂对所供货物（含软件及相关服务）进行机械运转试验和性能试验时，必须提前通知甲方。</w:t>
      </w:r>
    </w:p>
    <w:p w14:paraId="5BEED36B">
      <w:pPr>
        <w:snapToGrid w:val="0"/>
        <w:spacing w:line="276" w:lineRule="auto"/>
        <w:rPr>
          <w:rFonts w:hAnsi="宋体" w:cs="新宋体"/>
          <w:sz w:val="24"/>
          <w:szCs w:val="24"/>
          <w:highlight w:val="none"/>
        </w:rPr>
      </w:pPr>
      <w:r>
        <w:rPr>
          <w:rFonts w:hAnsi="宋体" w:cs="新宋体"/>
          <w:sz w:val="24"/>
          <w:szCs w:val="24"/>
          <w:highlight w:val="none"/>
        </w:rPr>
        <w:t xml:space="preserve">12.6 </w:t>
      </w:r>
      <w:r>
        <w:rPr>
          <w:rFonts w:hint="eastAsia" w:hAnsi="宋体" w:cs="新宋体"/>
          <w:sz w:val="24"/>
          <w:szCs w:val="24"/>
          <w:highlight w:val="none"/>
        </w:rPr>
        <w:t>货物（含软件及相关服务）的安装按采购文件第六章要求进行。</w:t>
      </w:r>
    </w:p>
    <w:p w14:paraId="2C977FF7">
      <w:pPr>
        <w:pStyle w:val="3"/>
        <w:spacing w:line="240" w:lineRule="auto"/>
        <w:rPr>
          <w:rFonts w:ascii="宋体" w:hAnsi="宋体" w:eastAsia="宋体" w:cs="新宋体"/>
          <w:sz w:val="24"/>
          <w:szCs w:val="24"/>
          <w:highlight w:val="none"/>
        </w:rPr>
      </w:pPr>
      <w:bookmarkStart w:id="22" w:name="_Toc452384220"/>
      <w:r>
        <w:rPr>
          <w:rFonts w:ascii="宋体" w:hAnsi="宋体" w:eastAsia="宋体" w:cs="新宋体"/>
          <w:sz w:val="24"/>
          <w:szCs w:val="24"/>
          <w:highlight w:val="none"/>
        </w:rPr>
        <w:t>13</w:t>
      </w:r>
      <w:r>
        <w:rPr>
          <w:rFonts w:hint="eastAsia" w:ascii="宋体" w:hAnsi="宋体" w:eastAsia="宋体" w:cs="新宋体"/>
          <w:sz w:val="24"/>
          <w:szCs w:val="24"/>
          <w:highlight w:val="none"/>
        </w:rPr>
        <w:t>．索赔</w:t>
      </w:r>
      <w:bookmarkEnd w:id="22"/>
    </w:p>
    <w:p w14:paraId="22C95282">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13.1 </w:t>
      </w:r>
      <w:r>
        <w:rPr>
          <w:rFonts w:hint="eastAsia" w:hAnsi="宋体" w:cs="新宋体"/>
          <w:sz w:val="24"/>
          <w:szCs w:val="24"/>
          <w:highlight w:val="none"/>
        </w:rPr>
        <w:t>甲方有权根据甲方按检验标准自己检验的结果或当地商检部门出具的商检证书向乙方提出索赔。</w:t>
      </w:r>
    </w:p>
    <w:p w14:paraId="7184988E">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13.2 </w:t>
      </w:r>
      <w:r>
        <w:rPr>
          <w:rFonts w:hint="eastAsia" w:hAnsi="宋体" w:cs="新宋体"/>
          <w:sz w:val="24"/>
          <w:szCs w:val="24"/>
          <w:highlight w:val="none"/>
        </w:rPr>
        <w:t>在第</w:t>
      </w:r>
      <w:r>
        <w:rPr>
          <w:rFonts w:hAnsi="宋体" w:cs="新宋体"/>
          <w:sz w:val="24"/>
          <w:szCs w:val="24"/>
          <w:highlight w:val="none"/>
        </w:rPr>
        <w:t>11</w:t>
      </w:r>
      <w:r>
        <w:rPr>
          <w:rFonts w:hint="eastAsia" w:hAnsi="宋体" w:cs="新宋体"/>
          <w:sz w:val="24"/>
          <w:szCs w:val="24"/>
          <w:highlight w:val="none"/>
        </w:rPr>
        <w:t>条和第</w:t>
      </w:r>
      <w:r>
        <w:rPr>
          <w:rFonts w:hAnsi="宋体" w:cs="新宋体"/>
          <w:sz w:val="24"/>
          <w:szCs w:val="24"/>
          <w:highlight w:val="none"/>
        </w:rPr>
        <w:t>12</w:t>
      </w:r>
      <w:r>
        <w:rPr>
          <w:rFonts w:hint="eastAsia" w:hAnsi="宋体" w:cs="新宋体"/>
          <w:sz w:val="24"/>
          <w:szCs w:val="24"/>
          <w:highlight w:val="none"/>
        </w:rPr>
        <w:t>条规定的检验期和质量保证期内，如果乙方对甲方提出的索赔和差异负有责任，乙方应按照甲方同意的下列一种或多种方式解决索赔事宜：</w:t>
      </w:r>
    </w:p>
    <w:p w14:paraId="1B1794E1">
      <w:pPr>
        <w:snapToGrid w:val="0"/>
        <w:spacing w:line="276" w:lineRule="auto"/>
        <w:ind w:left="1041" w:leftChars="210" w:hanging="600" w:hangingChars="25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1</w:t>
      </w:r>
      <w:r>
        <w:rPr>
          <w:rFonts w:hint="eastAsia" w:hAnsi="宋体" w:cs="新宋体"/>
          <w:sz w:val="24"/>
          <w:szCs w:val="24"/>
          <w:highlight w:val="none"/>
        </w:rPr>
        <w:t>）乙方同意退货，并按合同规定的同种货币将货款退还给甲方，并承担由此发生的一切损失和费用，包括但不限于利息、银行手续费、律师费、运费、保险费、检验费、仓储费、装卸费以及为保护退回货物（含软件及相关服务）所需的其它必要费用。</w:t>
      </w:r>
    </w:p>
    <w:p w14:paraId="6B5F1DA6">
      <w:pPr>
        <w:snapToGrid w:val="0"/>
        <w:spacing w:line="276" w:lineRule="auto"/>
        <w:ind w:left="932" w:leftChars="158" w:hanging="600" w:hangingChars="25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2</w:t>
      </w:r>
      <w:r>
        <w:rPr>
          <w:rFonts w:hint="eastAsia" w:hAnsi="宋体" w:cs="新宋体"/>
          <w:sz w:val="24"/>
          <w:szCs w:val="24"/>
          <w:highlight w:val="none"/>
        </w:rPr>
        <w:t>）根据货物（含软件及相关服务）的低劣程度、损坏程度以及甲方遭受损失的数额，经甲乙双方商定降低货物（含软件及相关服务）的价格，并承担由此发生的一切损失和费用，包括但不限于利息、银行手续费、律师费、运费、保险费、检验费、仓储费、装卸费以及其它必要费用。</w:t>
      </w:r>
    </w:p>
    <w:p w14:paraId="6AB4D398">
      <w:pPr>
        <w:snapToGrid w:val="0"/>
        <w:spacing w:line="276" w:lineRule="auto"/>
        <w:ind w:left="932" w:leftChars="158" w:hanging="600" w:hangingChars="25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3</w:t>
      </w:r>
      <w:r>
        <w:rPr>
          <w:rFonts w:hint="eastAsia" w:hAnsi="宋体" w:cs="新宋体"/>
          <w:sz w:val="24"/>
          <w:szCs w:val="24"/>
          <w:highlight w:val="none"/>
        </w:rPr>
        <w:t>）用符合规格、质量和性能要求的新零件、部件或货物（含软件及相关服务）来更换有缺陷的部分或修补缺陷部分，并承担由此发生的一切损失和费用，包括但不限于利息、银行手续费、律师费、运费、保险费、检验费、仓储费、装卸费、安装费、调试费以及其它必要费用。同时，乙方应按合同第</w:t>
      </w:r>
      <w:r>
        <w:rPr>
          <w:rFonts w:hAnsi="宋体" w:cs="新宋体"/>
          <w:sz w:val="24"/>
          <w:szCs w:val="24"/>
          <w:highlight w:val="none"/>
        </w:rPr>
        <w:t>11</w:t>
      </w:r>
      <w:r>
        <w:rPr>
          <w:rFonts w:hint="eastAsia" w:hAnsi="宋体" w:cs="新宋体"/>
          <w:sz w:val="24"/>
          <w:szCs w:val="24"/>
          <w:highlight w:val="none"/>
        </w:rPr>
        <w:t>条规定，相应延长修补或被更换部件或货物（含软件及相关服务）的质量保证期。</w:t>
      </w:r>
    </w:p>
    <w:p w14:paraId="7F493B80">
      <w:pPr>
        <w:snapToGrid w:val="0"/>
        <w:spacing w:line="276" w:lineRule="auto"/>
        <w:ind w:left="724" w:leftChars="59" w:hanging="600" w:hangingChars="250"/>
        <w:rPr>
          <w:rFonts w:hAnsi="宋体" w:cs="新宋体"/>
          <w:sz w:val="24"/>
          <w:szCs w:val="24"/>
          <w:highlight w:val="none"/>
        </w:rPr>
      </w:pPr>
      <w:r>
        <w:rPr>
          <w:rFonts w:hAnsi="宋体" w:cs="新宋体"/>
          <w:sz w:val="24"/>
          <w:szCs w:val="24"/>
          <w:highlight w:val="none"/>
        </w:rPr>
        <w:t xml:space="preserve">13.3 </w:t>
      </w:r>
      <w:r>
        <w:rPr>
          <w:rFonts w:hint="eastAsia" w:hAnsi="宋体" w:cs="新宋体"/>
          <w:sz w:val="24"/>
          <w:szCs w:val="24"/>
          <w:highlight w:val="none"/>
        </w:rPr>
        <w:t>如果在甲方发出索赔通知后三十天内，乙方未能答复，索赔通知应视为已被乙方接受。若乙方未能在甲方提出索赔通知后三十天内或甲方同意的更长时间内，按照第</w:t>
      </w:r>
      <w:r>
        <w:rPr>
          <w:rFonts w:hAnsi="宋体" w:cs="新宋体"/>
          <w:sz w:val="24"/>
          <w:szCs w:val="24"/>
          <w:highlight w:val="none"/>
        </w:rPr>
        <w:t>13.2</w:t>
      </w:r>
      <w:r>
        <w:rPr>
          <w:rFonts w:hint="eastAsia" w:hAnsi="宋体" w:cs="新宋体"/>
          <w:sz w:val="24"/>
          <w:szCs w:val="24"/>
          <w:highlight w:val="none"/>
        </w:rPr>
        <w:t>条规定的任何一种方法解决索赔事宜，甲方将从应付款或从乙方开具的履约保证金中扣回索赔费用。如果应付款及履约保证金不足以补偿索赔费用，甲方有权向乙方提出不足部分的补偿。</w:t>
      </w:r>
    </w:p>
    <w:p w14:paraId="3EFE11B7">
      <w:pPr>
        <w:pStyle w:val="3"/>
        <w:spacing w:line="240" w:lineRule="auto"/>
        <w:rPr>
          <w:rFonts w:ascii="宋体" w:hAnsi="宋体" w:eastAsia="宋体" w:cs="新宋体"/>
          <w:sz w:val="24"/>
          <w:szCs w:val="24"/>
          <w:highlight w:val="none"/>
        </w:rPr>
      </w:pPr>
      <w:bookmarkStart w:id="23" w:name="_Toc452384221"/>
      <w:r>
        <w:rPr>
          <w:rFonts w:ascii="宋体" w:hAnsi="宋体" w:eastAsia="宋体" w:cs="新宋体"/>
          <w:sz w:val="24"/>
          <w:szCs w:val="24"/>
          <w:highlight w:val="none"/>
        </w:rPr>
        <w:t>14</w:t>
      </w:r>
      <w:r>
        <w:rPr>
          <w:rFonts w:hint="eastAsia" w:ascii="宋体" w:hAnsi="宋体" w:eastAsia="宋体" w:cs="新宋体"/>
          <w:sz w:val="24"/>
          <w:szCs w:val="24"/>
          <w:highlight w:val="none"/>
        </w:rPr>
        <w:t>．拖延交货</w:t>
      </w:r>
      <w:bookmarkEnd w:id="23"/>
    </w:p>
    <w:p w14:paraId="4E0E5FBE">
      <w:pPr>
        <w:snapToGrid w:val="0"/>
        <w:spacing w:line="276" w:lineRule="auto"/>
        <w:rPr>
          <w:rFonts w:hAnsi="宋体" w:cs="新宋体"/>
          <w:sz w:val="24"/>
          <w:szCs w:val="24"/>
          <w:highlight w:val="none"/>
        </w:rPr>
      </w:pPr>
      <w:r>
        <w:rPr>
          <w:rFonts w:hAnsi="宋体" w:cs="新宋体"/>
          <w:sz w:val="24"/>
          <w:szCs w:val="24"/>
          <w:highlight w:val="none"/>
        </w:rPr>
        <w:t xml:space="preserve">14.1 </w:t>
      </w:r>
      <w:r>
        <w:rPr>
          <w:rFonts w:hint="eastAsia" w:hAnsi="宋体" w:cs="新宋体"/>
          <w:sz w:val="24"/>
          <w:szCs w:val="24"/>
          <w:highlight w:val="none"/>
        </w:rPr>
        <w:t>乙方应按照合同专用条款中规定的交货期交货和提供服务。</w:t>
      </w:r>
    </w:p>
    <w:p w14:paraId="64D942EC">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14.2 </w:t>
      </w:r>
      <w:r>
        <w:rPr>
          <w:rFonts w:hint="eastAsia" w:hAnsi="宋体" w:cs="新宋体"/>
          <w:sz w:val="24"/>
          <w:szCs w:val="24"/>
          <w:highlight w:val="none"/>
        </w:rPr>
        <w:t>如果乙方毫无理由地拖延交货，将受到以下制裁：没收履约保证金，加收违约损失赔偿和（或）终止合同。</w:t>
      </w:r>
    </w:p>
    <w:p w14:paraId="0E239AD7">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14.3 </w:t>
      </w:r>
      <w:r>
        <w:rPr>
          <w:rFonts w:hint="eastAsia" w:hAnsi="宋体" w:cs="新宋体"/>
          <w:sz w:val="24"/>
          <w:szCs w:val="24"/>
          <w:highlight w:val="none"/>
        </w:rPr>
        <w:t>在履行合同过程中，如果乙方遇到不能按时交货和提供服务的情况，应及时以书面形式将不能按时交货的理由、延误时间通知甲方。甲方在收到乙方通知后，应进行分析，必要时可通过修改合同，酌情延长交货时间。</w:t>
      </w:r>
    </w:p>
    <w:p w14:paraId="2A87AA64">
      <w:pPr>
        <w:pStyle w:val="3"/>
        <w:spacing w:line="240" w:lineRule="auto"/>
        <w:rPr>
          <w:rFonts w:ascii="宋体" w:hAnsi="宋体" w:eastAsia="宋体" w:cs="新宋体"/>
          <w:sz w:val="24"/>
          <w:szCs w:val="24"/>
          <w:highlight w:val="none"/>
        </w:rPr>
      </w:pPr>
      <w:bookmarkStart w:id="24" w:name="_Toc452384222"/>
      <w:r>
        <w:rPr>
          <w:rFonts w:ascii="宋体" w:hAnsi="宋体" w:eastAsia="宋体" w:cs="新宋体"/>
          <w:sz w:val="24"/>
          <w:szCs w:val="24"/>
          <w:highlight w:val="none"/>
        </w:rPr>
        <w:t>15</w:t>
      </w:r>
      <w:r>
        <w:rPr>
          <w:rFonts w:hint="eastAsia" w:ascii="宋体" w:hAnsi="宋体" w:eastAsia="宋体" w:cs="新宋体"/>
          <w:sz w:val="24"/>
          <w:szCs w:val="24"/>
          <w:highlight w:val="none"/>
        </w:rPr>
        <w:t>．违约赔偿</w:t>
      </w:r>
      <w:bookmarkEnd w:id="24"/>
    </w:p>
    <w:p w14:paraId="60460D08">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除第</w:t>
      </w:r>
      <w:r>
        <w:rPr>
          <w:rFonts w:hAnsi="宋体" w:cs="新宋体"/>
          <w:sz w:val="24"/>
          <w:szCs w:val="24"/>
          <w:highlight w:val="none"/>
        </w:rPr>
        <w:t>16</w:t>
      </w:r>
      <w:r>
        <w:rPr>
          <w:rFonts w:hint="eastAsia" w:hAnsi="宋体" w:cs="新宋体"/>
          <w:sz w:val="24"/>
          <w:szCs w:val="24"/>
          <w:highlight w:val="none"/>
        </w:rPr>
        <w:t>条规定的不可抗力外，如果乙方没有按照合同规定的时间交货和提供服务，甲方可从货款中扣除违约赔偿费，赔偿费应按每周迟交货物（含软件及相关服务）或未提供服务交货价的</w:t>
      </w:r>
      <w:r>
        <w:rPr>
          <w:rFonts w:hAnsi="宋体" w:cs="新宋体"/>
          <w:sz w:val="24"/>
          <w:szCs w:val="24"/>
          <w:highlight w:val="none"/>
        </w:rPr>
        <w:t>1</w:t>
      </w:r>
      <w:r>
        <w:rPr>
          <w:rFonts w:hint="eastAsia" w:hAnsi="宋体" w:cs="新宋体"/>
          <w:sz w:val="24"/>
          <w:szCs w:val="24"/>
          <w:highlight w:val="none"/>
        </w:rPr>
        <w:t>％计收（本合同专用条款另有规定的从其规定）。但违约损失赔偿费的最高限额为迟交货物（含软件及相关服务）或没有提供服务的合同价的</w:t>
      </w:r>
      <w:r>
        <w:rPr>
          <w:rFonts w:hAnsi="宋体" w:cs="新宋体"/>
          <w:sz w:val="24"/>
          <w:szCs w:val="24"/>
          <w:highlight w:val="none"/>
        </w:rPr>
        <w:t>5</w:t>
      </w:r>
      <w:r>
        <w:rPr>
          <w:rFonts w:hint="eastAsia" w:hAnsi="宋体" w:cs="新宋体"/>
          <w:sz w:val="24"/>
          <w:szCs w:val="24"/>
          <w:highlight w:val="none"/>
        </w:rPr>
        <w:t>％。一周按七天计算，不足七天按一周计算。甲方有权终止合同，并按合同约定及法律规定追究乙方的违约责任。</w:t>
      </w:r>
    </w:p>
    <w:p w14:paraId="1D90B131">
      <w:pPr>
        <w:pStyle w:val="3"/>
        <w:spacing w:line="240" w:lineRule="auto"/>
        <w:rPr>
          <w:rFonts w:ascii="宋体" w:hAnsi="宋体" w:eastAsia="宋体" w:cs="新宋体"/>
          <w:sz w:val="24"/>
          <w:szCs w:val="24"/>
          <w:highlight w:val="none"/>
        </w:rPr>
      </w:pPr>
      <w:bookmarkStart w:id="25" w:name="_Toc452384223"/>
      <w:r>
        <w:rPr>
          <w:rFonts w:ascii="宋体" w:hAnsi="宋体" w:eastAsia="宋体" w:cs="新宋体"/>
          <w:sz w:val="24"/>
          <w:szCs w:val="24"/>
          <w:highlight w:val="none"/>
        </w:rPr>
        <w:t>16</w:t>
      </w:r>
      <w:r>
        <w:rPr>
          <w:rFonts w:hint="eastAsia" w:ascii="宋体" w:hAnsi="宋体" w:eastAsia="宋体" w:cs="新宋体"/>
          <w:sz w:val="24"/>
          <w:szCs w:val="24"/>
          <w:highlight w:val="none"/>
        </w:rPr>
        <w:t>．不可抗力</w:t>
      </w:r>
      <w:bookmarkEnd w:id="25"/>
    </w:p>
    <w:p w14:paraId="275F00D9">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16.1 </w:t>
      </w:r>
      <w:r>
        <w:rPr>
          <w:rFonts w:hint="eastAsia" w:hAnsi="宋体" w:cs="新宋体"/>
          <w:sz w:val="24"/>
          <w:szCs w:val="24"/>
          <w:highlight w:val="none"/>
        </w:rPr>
        <w:t>如果双方中任何一方由于战争、严重火灾、水灾、台风和地震以及其它经双方同意属于不可抗力的事故，致使合同履行受阻时，履行合同的期限应予以延长，延长的期限应当等于事故所影响的时间。</w:t>
      </w:r>
    </w:p>
    <w:p w14:paraId="2D62A5C3">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16.2 </w:t>
      </w:r>
      <w:r>
        <w:rPr>
          <w:rFonts w:hint="eastAsia" w:hAnsi="宋体" w:cs="新宋体"/>
          <w:sz w:val="24"/>
          <w:szCs w:val="24"/>
          <w:highlight w:val="none"/>
        </w:rPr>
        <w:t>受事故影响的一方应在不可抗力事故发生后尽快以电报、传真或电传通知另一方，并在事故发生后十四天内，将有关部门出具的证明文件用特快专递寄给或送给另一方。如果不可抗力影响时间延续一百二十天以上，双方应通过友好协商在合理的时间内达成进一步履行合同的协议。</w:t>
      </w:r>
    </w:p>
    <w:p w14:paraId="21D4700F">
      <w:pPr>
        <w:pStyle w:val="3"/>
        <w:spacing w:line="240" w:lineRule="auto"/>
        <w:rPr>
          <w:rFonts w:ascii="宋体" w:hAnsi="宋体" w:eastAsia="宋体" w:cs="新宋体"/>
          <w:sz w:val="24"/>
          <w:szCs w:val="24"/>
          <w:highlight w:val="none"/>
        </w:rPr>
      </w:pPr>
      <w:bookmarkStart w:id="26" w:name="_Toc452384224"/>
      <w:r>
        <w:rPr>
          <w:rFonts w:ascii="宋体" w:hAnsi="宋体" w:eastAsia="宋体" w:cs="新宋体"/>
          <w:sz w:val="24"/>
          <w:szCs w:val="24"/>
          <w:highlight w:val="none"/>
        </w:rPr>
        <w:t>17</w:t>
      </w:r>
      <w:r>
        <w:rPr>
          <w:rFonts w:hint="eastAsia" w:ascii="宋体" w:hAnsi="宋体" w:eastAsia="宋体" w:cs="新宋体"/>
          <w:sz w:val="24"/>
          <w:szCs w:val="24"/>
          <w:highlight w:val="none"/>
        </w:rPr>
        <w:t>．税费</w:t>
      </w:r>
      <w:bookmarkEnd w:id="26"/>
    </w:p>
    <w:p w14:paraId="78B5F1A9">
      <w:pPr>
        <w:snapToGrid w:val="0"/>
        <w:spacing w:line="276" w:lineRule="auto"/>
        <w:ind w:left="600" w:right="-197" w:rightChars="-94" w:hanging="600" w:hangingChars="250"/>
        <w:rPr>
          <w:rFonts w:hAnsi="宋体" w:cs="新宋体"/>
          <w:sz w:val="22"/>
          <w:szCs w:val="24"/>
          <w:highlight w:val="none"/>
        </w:rPr>
      </w:pPr>
      <w:r>
        <w:rPr>
          <w:rFonts w:hAnsi="宋体" w:cs="新宋体"/>
          <w:sz w:val="24"/>
          <w:szCs w:val="24"/>
          <w:highlight w:val="none"/>
        </w:rPr>
        <w:t xml:space="preserve">17.1 </w:t>
      </w:r>
      <w:r>
        <w:rPr>
          <w:rFonts w:hint="eastAsia" w:hAnsi="宋体" w:cs="新宋体"/>
          <w:sz w:val="24"/>
          <w:szCs w:val="24"/>
          <w:highlight w:val="none"/>
        </w:rPr>
        <w:t>中国政府根据现行税法对甲方征收的与本合同有关的一切税费均由甲方</w:t>
      </w:r>
      <w:r>
        <w:rPr>
          <w:rFonts w:hint="eastAsia" w:hAnsi="宋体" w:cs="新宋体"/>
          <w:sz w:val="22"/>
          <w:szCs w:val="24"/>
          <w:highlight w:val="none"/>
        </w:rPr>
        <w:t>承担。</w:t>
      </w:r>
    </w:p>
    <w:p w14:paraId="6689EBC7">
      <w:pPr>
        <w:snapToGrid w:val="0"/>
        <w:spacing w:line="276" w:lineRule="auto"/>
        <w:ind w:left="600" w:right="-340" w:rightChars="-162" w:hanging="600" w:hangingChars="250"/>
        <w:rPr>
          <w:rFonts w:hAnsi="宋体" w:cs="新宋体"/>
          <w:sz w:val="24"/>
          <w:szCs w:val="24"/>
          <w:highlight w:val="none"/>
        </w:rPr>
      </w:pPr>
      <w:r>
        <w:rPr>
          <w:rFonts w:hAnsi="宋体" w:cs="新宋体"/>
          <w:sz w:val="24"/>
          <w:szCs w:val="24"/>
          <w:highlight w:val="none"/>
        </w:rPr>
        <w:t xml:space="preserve">17.2 </w:t>
      </w:r>
      <w:r>
        <w:rPr>
          <w:rFonts w:hint="eastAsia" w:hAnsi="宋体" w:cs="新宋体"/>
          <w:sz w:val="24"/>
          <w:szCs w:val="24"/>
          <w:highlight w:val="none"/>
        </w:rPr>
        <w:t>中国政府根据现行税法对乙方征收的与本合同有关的一切税费均由乙方承担。</w:t>
      </w:r>
    </w:p>
    <w:p w14:paraId="45B0E5EF">
      <w:pPr>
        <w:snapToGrid w:val="0"/>
        <w:spacing w:line="276" w:lineRule="auto"/>
        <w:rPr>
          <w:rFonts w:hAnsi="宋体" w:cs="新宋体"/>
          <w:sz w:val="24"/>
          <w:szCs w:val="24"/>
          <w:highlight w:val="none"/>
        </w:rPr>
      </w:pPr>
      <w:r>
        <w:rPr>
          <w:rFonts w:hAnsi="宋体" w:cs="新宋体"/>
          <w:sz w:val="24"/>
          <w:szCs w:val="24"/>
          <w:highlight w:val="none"/>
        </w:rPr>
        <w:t xml:space="preserve">17.3 </w:t>
      </w:r>
      <w:r>
        <w:rPr>
          <w:rFonts w:hint="eastAsia" w:hAnsi="宋体" w:cs="新宋体"/>
          <w:sz w:val="24"/>
          <w:szCs w:val="24"/>
          <w:highlight w:val="none"/>
        </w:rPr>
        <w:t>在中国境外发生的与执行本合同有关的一切税费均由乙方承担。</w:t>
      </w:r>
    </w:p>
    <w:p w14:paraId="728E7BCE">
      <w:pPr>
        <w:pStyle w:val="3"/>
        <w:spacing w:line="240" w:lineRule="auto"/>
        <w:rPr>
          <w:rFonts w:ascii="宋体" w:hAnsi="宋体" w:eastAsia="宋体" w:cs="新宋体"/>
          <w:sz w:val="24"/>
          <w:szCs w:val="24"/>
          <w:highlight w:val="none"/>
        </w:rPr>
      </w:pPr>
      <w:bookmarkStart w:id="27" w:name="_Toc452384225"/>
      <w:r>
        <w:rPr>
          <w:rFonts w:ascii="宋体" w:hAnsi="宋体" w:eastAsia="宋体" w:cs="新宋体"/>
          <w:sz w:val="24"/>
          <w:szCs w:val="24"/>
          <w:highlight w:val="none"/>
        </w:rPr>
        <w:t>18</w:t>
      </w:r>
      <w:r>
        <w:rPr>
          <w:rFonts w:hint="eastAsia" w:ascii="宋体" w:hAnsi="宋体" w:eastAsia="宋体" w:cs="新宋体"/>
          <w:sz w:val="24"/>
          <w:szCs w:val="24"/>
          <w:highlight w:val="none"/>
        </w:rPr>
        <w:t>．仲裁</w:t>
      </w:r>
      <w:bookmarkEnd w:id="27"/>
    </w:p>
    <w:p w14:paraId="575DE91E">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18.1 </w:t>
      </w:r>
      <w:r>
        <w:rPr>
          <w:rFonts w:hint="eastAsia" w:hAnsi="宋体" w:cs="新宋体"/>
          <w:sz w:val="24"/>
          <w:szCs w:val="24"/>
          <w:highlight w:val="none"/>
        </w:rPr>
        <w:t>甲乙双方应通过友好协商，解决在执行本合同中所发生的或与本合同有关的一切争端，如果协商仍得不到解决，任何一方均可提交南京仲裁委员会仲裁。</w:t>
      </w:r>
    </w:p>
    <w:p w14:paraId="01B1BEB7">
      <w:pPr>
        <w:snapToGrid w:val="0"/>
        <w:spacing w:line="276" w:lineRule="auto"/>
        <w:rPr>
          <w:rFonts w:hAnsi="宋体" w:cs="新宋体"/>
          <w:sz w:val="24"/>
          <w:szCs w:val="24"/>
          <w:highlight w:val="none"/>
        </w:rPr>
      </w:pPr>
      <w:r>
        <w:rPr>
          <w:rFonts w:hAnsi="宋体" w:cs="新宋体"/>
          <w:sz w:val="24"/>
          <w:szCs w:val="24"/>
          <w:highlight w:val="none"/>
        </w:rPr>
        <w:t xml:space="preserve">18.2 </w:t>
      </w:r>
      <w:r>
        <w:rPr>
          <w:rFonts w:hint="eastAsia" w:hAnsi="宋体" w:cs="新宋体"/>
          <w:sz w:val="24"/>
          <w:szCs w:val="24"/>
          <w:highlight w:val="none"/>
        </w:rPr>
        <w:t>仲裁裁决应为终局裁决，对双方均具有约束力。</w:t>
      </w:r>
    </w:p>
    <w:p w14:paraId="43F976F4">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18.3 </w:t>
      </w:r>
      <w:r>
        <w:rPr>
          <w:rFonts w:hint="eastAsia" w:hAnsi="宋体" w:cs="新宋体"/>
          <w:sz w:val="24"/>
          <w:szCs w:val="24"/>
          <w:highlight w:val="none"/>
        </w:rPr>
        <w:t>败诉方除应承担仲裁费费以外，还应承担对方支付的律师费，仲裁机构另有裁决的除外。</w:t>
      </w:r>
    </w:p>
    <w:p w14:paraId="3D6F7D19">
      <w:pPr>
        <w:snapToGrid w:val="0"/>
        <w:spacing w:line="276" w:lineRule="auto"/>
        <w:rPr>
          <w:rFonts w:hAnsi="宋体" w:cs="新宋体"/>
          <w:sz w:val="24"/>
          <w:szCs w:val="24"/>
          <w:highlight w:val="none"/>
        </w:rPr>
      </w:pPr>
      <w:r>
        <w:rPr>
          <w:rFonts w:hAnsi="宋体" w:cs="新宋体"/>
          <w:sz w:val="24"/>
          <w:szCs w:val="24"/>
          <w:highlight w:val="none"/>
        </w:rPr>
        <w:t xml:space="preserve">18.4 </w:t>
      </w:r>
      <w:r>
        <w:rPr>
          <w:rFonts w:hint="eastAsia" w:hAnsi="宋体" w:cs="新宋体"/>
          <w:sz w:val="24"/>
          <w:szCs w:val="24"/>
          <w:highlight w:val="none"/>
        </w:rPr>
        <w:t>在仲裁期间，除正在进行仲裁的部分外，合同其它部分继续执行。</w:t>
      </w:r>
    </w:p>
    <w:p w14:paraId="411386BF">
      <w:pPr>
        <w:pStyle w:val="3"/>
        <w:spacing w:line="240" w:lineRule="auto"/>
        <w:rPr>
          <w:rFonts w:ascii="宋体" w:hAnsi="宋体" w:eastAsia="宋体" w:cs="新宋体"/>
          <w:sz w:val="24"/>
          <w:szCs w:val="24"/>
          <w:highlight w:val="none"/>
        </w:rPr>
      </w:pPr>
      <w:bookmarkStart w:id="28" w:name="_Toc452384226"/>
      <w:r>
        <w:rPr>
          <w:rFonts w:ascii="宋体" w:hAnsi="宋体" w:eastAsia="宋体" w:cs="新宋体"/>
          <w:sz w:val="24"/>
          <w:szCs w:val="24"/>
          <w:highlight w:val="none"/>
        </w:rPr>
        <w:t>19</w:t>
      </w:r>
      <w:r>
        <w:rPr>
          <w:rFonts w:hint="eastAsia" w:ascii="宋体" w:hAnsi="宋体" w:eastAsia="宋体" w:cs="新宋体"/>
          <w:sz w:val="24"/>
          <w:szCs w:val="24"/>
          <w:highlight w:val="none"/>
        </w:rPr>
        <w:t>．违约解除合同</w:t>
      </w:r>
      <w:bookmarkEnd w:id="28"/>
    </w:p>
    <w:p w14:paraId="256EAED5">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19.1 </w:t>
      </w:r>
      <w:r>
        <w:rPr>
          <w:rFonts w:hint="eastAsia" w:hAnsi="宋体" w:cs="新宋体"/>
          <w:sz w:val="24"/>
          <w:szCs w:val="24"/>
          <w:highlight w:val="none"/>
        </w:rPr>
        <w:t>乙方有下列违约情况之一，并在收到甲方违约通知后的合理时间内，或经甲方书面认可延长的时间内未能纠正其过错，甲方可向乙方发出书面通知，解除部分或全部合同。在这种情况下，并不影响甲方向乙方提出索赔</w:t>
      </w:r>
    </w:p>
    <w:p w14:paraId="0C1D38C8">
      <w:pPr>
        <w:snapToGrid w:val="0"/>
        <w:spacing w:line="276" w:lineRule="auto"/>
        <w:ind w:left="1041" w:leftChars="210" w:hanging="600" w:hangingChars="25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1</w:t>
      </w:r>
      <w:r>
        <w:rPr>
          <w:rFonts w:hint="eastAsia" w:hAnsi="宋体" w:cs="新宋体"/>
          <w:sz w:val="24"/>
          <w:szCs w:val="24"/>
          <w:highlight w:val="none"/>
        </w:rPr>
        <w:t>）如果乙方未能在合同规定的期限或甲方同意延期的限期内提供全部或部分货物（含软件及相关服务）；</w:t>
      </w:r>
    </w:p>
    <w:p w14:paraId="694013BD">
      <w:pPr>
        <w:snapToGrid w:val="0"/>
        <w:spacing w:line="276" w:lineRule="auto"/>
        <w:ind w:firstLine="480" w:firstLineChars="200"/>
        <w:rPr>
          <w:rFonts w:hAnsi="宋体" w:cs="新宋体"/>
          <w:sz w:val="24"/>
          <w:szCs w:val="24"/>
          <w:highlight w:val="none"/>
        </w:rPr>
      </w:pPr>
      <w:r>
        <w:rPr>
          <w:rFonts w:hint="eastAsia" w:hAnsi="宋体" w:cs="新宋体"/>
          <w:sz w:val="24"/>
          <w:szCs w:val="24"/>
          <w:highlight w:val="none"/>
        </w:rPr>
        <w:t>（</w:t>
      </w:r>
      <w:r>
        <w:rPr>
          <w:rFonts w:hAnsi="宋体" w:cs="新宋体"/>
          <w:sz w:val="24"/>
          <w:szCs w:val="24"/>
          <w:highlight w:val="none"/>
        </w:rPr>
        <w:t>2</w:t>
      </w:r>
      <w:r>
        <w:rPr>
          <w:rFonts w:hint="eastAsia" w:hAnsi="宋体" w:cs="新宋体"/>
          <w:sz w:val="24"/>
          <w:szCs w:val="24"/>
          <w:highlight w:val="none"/>
        </w:rPr>
        <w:t>）如果乙方未能履行合同规定的其它义务。</w:t>
      </w:r>
    </w:p>
    <w:p w14:paraId="07705CC2">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19.2 </w:t>
      </w:r>
      <w:r>
        <w:rPr>
          <w:rFonts w:hint="eastAsia" w:hAnsi="宋体" w:cs="新宋体"/>
          <w:sz w:val="24"/>
          <w:szCs w:val="24"/>
          <w:highlight w:val="none"/>
        </w:rPr>
        <w:t>在甲方根据第</w:t>
      </w:r>
      <w:r>
        <w:rPr>
          <w:rFonts w:hAnsi="宋体" w:cs="新宋体"/>
          <w:sz w:val="24"/>
          <w:szCs w:val="24"/>
          <w:highlight w:val="none"/>
        </w:rPr>
        <w:t>20.1</w:t>
      </w:r>
      <w:r>
        <w:rPr>
          <w:rFonts w:hint="eastAsia" w:hAnsi="宋体" w:cs="新宋体"/>
          <w:sz w:val="24"/>
          <w:szCs w:val="24"/>
          <w:highlight w:val="none"/>
        </w:rPr>
        <w:t>条规定，解除了全部或部分合同，甲方可以依其认为适当的条件和方式购买与未交货物（含软件及相关服务）类似的货物（含软件及相关服务），乙方应对购买类似货物（含软件及相关服务）的费用负责。而且乙方还应继续执行合同中未终止的部分。</w:t>
      </w:r>
    </w:p>
    <w:p w14:paraId="51609942">
      <w:pPr>
        <w:pStyle w:val="3"/>
        <w:spacing w:line="240" w:lineRule="auto"/>
        <w:rPr>
          <w:rFonts w:ascii="宋体" w:hAnsi="宋体" w:eastAsia="宋体" w:cs="新宋体"/>
          <w:sz w:val="24"/>
          <w:szCs w:val="24"/>
          <w:highlight w:val="none"/>
        </w:rPr>
      </w:pPr>
      <w:bookmarkStart w:id="29" w:name="_Toc452384227"/>
      <w:r>
        <w:rPr>
          <w:rFonts w:ascii="宋体" w:hAnsi="宋体" w:eastAsia="宋体" w:cs="新宋体"/>
          <w:sz w:val="24"/>
          <w:szCs w:val="24"/>
          <w:highlight w:val="none"/>
        </w:rPr>
        <w:t>20</w:t>
      </w:r>
      <w:r>
        <w:rPr>
          <w:rFonts w:hint="eastAsia" w:ascii="宋体" w:hAnsi="宋体" w:eastAsia="宋体" w:cs="新宋体"/>
          <w:sz w:val="24"/>
          <w:szCs w:val="24"/>
          <w:highlight w:val="none"/>
        </w:rPr>
        <w:t>．破产终止合同</w:t>
      </w:r>
      <w:bookmarkEnd w:id="29"/>
    </w:p>
    <w:p w14:paraId="686722F0">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20.1 </w:t>
      </w:r>
      <w:r>
        <w:rPr>
          <w:rFonts w:hint="eastAsia" w:hAnsi="宋体" w:cs="新宋体"/>
          <w:sz w:val="24"/>
          <w:szCs w:val="24"/>
          <w:highlight w:val="none"/>
        </w:rPr>
        <w:t>如果乙方破产或无清偿能力，甲方可在任何时候以书面通知乙方解除合同，该解除合同将不损害或影响甲方已经采取或将采取补救措施的权利。</w:t>
      </w:r>
    </w:p>
    <w:p w14:paraId="40E4CB25">
      <w:pPr>
        <w:pStyle w:val="3"/>
        <w:spacing w:line="240" w:lineRule="auto"/>
        <w:rPr>
          <w:rFonts w:ascii="宋体" w:hAnsi="宋体" w:eastAsia="宋体" w:cs="新宋体"/>
          <w:sz w:val="24"/>
          <w:szCs w:val="24"/>
          <w:highlight w:val="none"/>
        </w:rPr>
      </w:pPr>
      <w:bookmarkStart w:id="30" w:name="_Toc452384228"/>
      <w:r>
        <w:rPr>
          <w:rFonts w:ascii="宋体" w:hAnsi="宋体" w:eastAsia="宋体" w:cs="新宋体"/>
          <w:sz w:val="24"/>
          <w:szCs w:val="24"/>
          <w:highlight w:val="none"/>
        </w:rPr>
        <w:t>21</w:t>
      </w:r>
      <w:r>
        <w:rPr>
          <w:rFonts w:hint="eastAsia" w:ascii="宋体" w:hAnsi="宋体" w:eastAsia="宋体" w:cs="新宋体"/>
          <w:sz w:val="24"/>
          <w:szCs w:val="24"/>
          <w:highlight w:val="none"/>
        </w:rPr>
        <w:t>．转让与分包</w:t>
      </w:r>
      <w:bookmarkEnd w:id="30"/>
    </w:p>
    <w:p w14:paraId="133B6F52">
      <w:pPr>
        <w:snapToGrid w:val="0"/>
        <w:spacing w:line="276" w:lineRule="auto"/>
        <w:rPr>
          <w:rFonts w:hAnsi="宋体" w:cs="新宋体"/>
          <w:sz w:val="24"/>
          <w:szCs w:val="24"/>
          <w:highlight w:val="none"/>
        </w:rPr>
      </w:pPr>
      <w:r>
        <w:rPr>
          <w:rFonts w:hAnsi="宋体" w:cs="新宋体"/>
          <w:sz w:val="24"/>
          <w:szCs w:val="24"/>
          <w:highlight w:val="none"/>
        </w:rPr>
        <w:t xml:space="preserve">21.1 </w:t>
      </w:r>
      <w:r>
        <w:rPr>
          <w:rFonts w:hint="eastAsia" w:hAnsi="宋体" w:cs="新宋体"/>
          <w:sz w:val="24"/>
          <w:szCs w:val="24"/>
          <w:highlight w:val="none"/>
        </w:rPr>
        <w:t>未经甲方事先书面同意，乙方不得部分转让或全部转让其应履行的合同义务。</w:t>
      </w:r>
    </w:p>
    <w:p w14:paraId="3BC2E6E7">
      <w:pPr>
        <w:snapToGrid w:val="0"/>
        <w:spacing w:line="276" w:lineRule="auto"/>
        <w:ind w:left="600" w:hanging="600" w:hangingChars="250"/>
        <w:rPr>
          <w:rFonts w:hAnsi="宋体" w:cs="新宋体"/>
          <w:sz w:val="24"/>
          <w:szCs w:val="24"/>
          <w:highlight w:val="none"/>
        </w:rPr>
      </w:pPr>
      <w:r>
        <w:rPr>
          <w:rFonts w:hAnsi="宋体" w:cs="新宋体"/>
          <w:sz w:val="24"/>
          <w:szCs w:val="24"/>
          <w:highlight w:val="none"/>
        </w:rPr>
        <w:t xml:space="preserve">21.2 </w:t>
      </w:r>
      <w:r>
        <w:rPr>
          <w:rFonts w:hint="eastAsia" w:hAnsi="宋体" w:cs="新宋体"/>
          <w:sz w:val="24"/>
          <w:szCs w:val="24"/>
          <w:highlight w:val="none"/>
        </w:rPr>
        <w:t>对投标文件中没有明确分包内容的合同，乙方如果分包应书面通知甲方并须获得甲方同意，但无论有否分包均不能免除乙方履行本合同的义务。</w:t>
      </w:r>
    </w:p>
    <w:p w14:paraId="373766ED">
      <w:pPr>
        <w:pStyle w:val="3"/>
        <w:spacing w:line="240" w:lineRule="auto"/>
        <w:rPr>
          <w:rFonts w:ascii="宋体" w:hAnsi="宋体" w:eastAsia="宋体" w:cs="新宋体"/>
          <w:sz w:val="24"/>
          <w:szCs w:val="24"/>
          <w:highlight w:val="none"/>
        </w:rPr>
      </w:pPr>
      <w:bookmarkStart w:id="31" w:name="_Toc452384229"/>
      <w:r>
        <w:rPr>
          <w:rFonts w:ascii="宋体" w:hAnsi="宋体" w:eastAsia="宋体" w:cs="新宋体"/>
          <w:sz w:val="24"/>
          <w:szCs w:val="24"/>
          <w:highlight w:val="none"/>
        </w:rPr>
        <w:t>22</w:t>
      </w:r>
      <w:r>
        <w:rPr>
          <w:rFonts w:hint="eastAsia" w:ascii="宋体" w:hAnsi="宋体" w:eastAsia="宋体" w:cs="新宋体"/>
          <w:sz w:val="24"/>
          <w:szCs w:val="24"/>
          <w:highlight w:val="none"/>
        </w:rPr>
        <w:t>．适用法律</w:t>
      </w:r>
      <w:bookmarkEnd w:id="31"/>
    </w:p>
    <w:p w14:paraId="645935E8">
      <w:pPr>
        <w:snapToGrid w:val="0"/>
        <w:ind w:firstLine="480" w:firstLineChars="200"/>
        <w:rPr>
          <w:rFonts w:hAnsi="宋体" w:cs="新宋体"/>
          <w:sz w:val="24"/>
          <w:szCs w:val="28"/>
          <w:highlight w:val="none"/>
        </w:rPr>
      </w:pPr>
      <w:r>
        <w:rPr>
          <w:rFonts w:hint="eastAsia" w:hAnsi="宋体" w:cs="新宋体"/>
          <w:sz w:val="24"/>
          <w:szCs w:val="28"/>
          <w:highlight w:val="none"/>
        </w:rPr>
        <w:t>本合同应按中华人民共和国的法律进行解释。</w:t>
      </w:r>
    </w:p>
    <w:p w14:paraId="16241C5C">
      <w:pPr>
        <w:pStyle w:val="3"/>
        <w:spacing w:line="240" w:lineRule="auto"/>
        <w:rPr>
          <w:rFonts w:ascii="宋体" w:hAnsi="宋体" w:eastAsia="宋体" w:cs="新宋体"/>
          <w:sz w:val="24"/>
          <w:szCs w:val="24"/>
          <w:highlight w:val="none"/>
        </w:rPr>
      </w:pPr>
      <w:bookmarkStart w:id="32" w:name="_Toc452384230"/>
      <w:r>
        <w:rPr>
          <w:rFonts w:ascii="宋体" w:hAnsi="宋体" w:eastAsia="宋体" w:cs="新宋体"/>
          <w:sz w:val="24"/>
          <w:szCs w:val="24"/>
          <w:highlight w:val="none"/>
        </w:rPr>
        <w:t>23</w:t>
      </w:r>
      <w:r>
        <w:rPr>
          <w:rFonts w:hint="eastAsia" w:ascii="宋体" w:hAnsi="宋体" w:eastAsia="宋体" w:cs="新宋体"/>
          <w:sz w:val="24"/>
          <w:szCs w:val="24"/>
          <w:highlight w:val="none"/>
        </w:rPr>
        <w:t>．合同生效及其它</w:t>
      </w:r>
      <w:bookmarkEnd w:id="32"/>
    </w:p>
    <w:p w14:paraId="4D29106A">
      <w:pPr>
        <w:snapToGrid w:val="0"/>
        <w:spacing w:line="360" w:lineRule="auto"/>
        <w:rPr>
          <w:rFonts w:hAnsi="宋体" w:cs="新宋体"/>
          <w:sz w:val="24"/>
          <w:szCs w:val="24"/>
          <w:highlight w:val="none"/>
        </w:rPr>
      </w:pPr>
      <w:r>
        <w:rPr>
          <w:rFonts w:hAnsi="宋体" w:cs="新宋体"/>
          <w:sz w:val="24"/>
          <w:szCs w:val="24"/>
          <w:highlight w:val="none"/>
        </w:rPr>
        <w:t xml:space="preserve">23.1 </w:t>
      </w:r>
      <w:r>
        <w:rPr>
          <w:rFonts w:hint="eastAsia" w:hAnsi="宋体" w:cs="新宋体"/>
          <w:sz w:val="24"/>
          <w:szCs w:val="24"/>
          <w:highlight w:val="none"/>
        </w:rPr>
        <w:t>合同在双方签字盖章后生效。</w:t>
      </w:r>
    </w:p>
    <w:p w14:paraId="783A7306">
      <w:pPr>
        <w:snapToGrid w:val="0"/>
        <w:spacing w:line="360" w:lineRule="auto"/>
        <w:ind w:left="600" w:hanging="600" w:hangingChars="250"/>
        <w:rPr>
          <w:rFonts w:hAnsi="宋体" w:cs="新宋体"/>
          <w:sz w:val="24"/>
          <w:szCs w:val="24"/>
          <w:highlight w:val="none"/>
        </w:rPr>
      </w:pPr>
      <w:r>
        <w:rPr>
          <w:rFonts w:hAnsi="宋体" w:cs="新宋体"/>
          <w:sz w:val="24"/>
          <w:szCs w:val="24"/>
          <w:highlight w:val="none"/>
        </w:rPr>
        <w:t xml:space="preserve">23.2 </w:t>
      </w:r>
      <w:r>
        <w:rPr>
          <w:rFonts w:hint="eastAsia" w:hAnsi="宋体" w:cs="新宋体"/>
          <w:sz w:val="24"/>
          <w:szCs w:val="24"/>
          <w:highlight w:val="none"/>
        </w:rPr>
        <w:t>如需对合同内容进行补充或细化，经双方协商一致后可以签署书面补充协议，但不可更改原合同实质性条款，该协议将作为本合同的一个组成部分。</w:t>
      </w:r>
    </w:p>
    <w:tbl>
      <w:tblPr>
        <w:tblStyle w:val="10"/>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6"/>
        <w:gridCol w:w="4554"/>
      </w:tblGrid>
      <w:tr w14:paraId="1544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303CC94D">
            <w:pPr>
              <w:snapToGrid w:val="0"/>
              <w:spacing w:line="240" w:lineRule="atLeast"/>
              <w:rPr>
                <w:rFonts w:ascii="宋体" w:hAnsi="宋体"/>
                <w:szCs w:val="21"/>
                <w:highlight w:val="none"/>
              </w:rPr>
            </w:pPr>
            <w:r>
              <w:rPr>
                <w:rFonts w:hint="eastAsia" w:ascii="宋体" w:hAnsi="宋体"/>
                <w:szCs w:val="21"/>
                <w:highlight w:val="none"/>
              </w:rPr>
              <w:t>甲方：南京航空航天大学（合同专用章）</w:t>
            </w:r>
          </w:p>
        </w:tc>
        <w:tc>
          <w:tcPr>
            <w:tcW w:w="4554" w:type="dxa"/>
          </w:tcPr>
          <w:p w14:paraId="6D982715">
            <w:pPr>
              <w:snapToGrid w:val="0"/>
              <w:spacing w:line="240" w:lineRule="atLeast"/>
              <w:rPr>
                <w:rFonts w:ascii="宋体" w:hAnsi="宋体"/>
                <w:highlight w:val="none"/>
              </w:rPr>
            </w:pPr>
            <w:r>
              <w:rPr>
                <w:rFonts w:hint="eastAsia" w:ascii="宋体" w:hAnsi="宋体"/>
                <w:highlight w:val="none"/>
              </w:rPr>
              <w:t>乙方：</w:t>
            </w:r>
            <w:r>
              <w:rPr>
                <w:rFonts w:hint="eastAsia" w:ascii="宋体" w:hAnsi="宋体"/>
                <w:color w:val="FF0000"/>
                <w:highlight w:val="none"/>
              </w:rPr>
              <w:t>**************</w:t>
            </w:r>
            <w:r>
              <w:rPr>
                <w:rFonts w:hint="eastAsia" w:ascii="宋体" w:hAnsi="宋体"/>
                <w:highlight w:val="none"/>
              </w:rPr>
              <w:t>（单位公章或合同专用章）</w:t>
            </w:r>
          </w:p>
        </w:tc>
      </w:tr>
      <w:tr w14:paraId="6F3C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2CF8FD58">
            <w:pPr>
              <w:snapToGrid w:val="0"/>
              <w:spacing w:line="240" w:lineRule="atLeast"/>
              <w:rPr>
                <w:rFonts w:ascii="宋体" w:hAnsi="宋体"/>
                <w:szCs w:val="21"/>
                <w:highlight w:val="none"/>
              </w:rPr>
            </w:pPr>
            <w:r>
              <w:rPr>
                <w:rFonts w:hint="eastAsia" w:ascii="宋体" w:hAnsi="宋体"/>
                <w:szCs w:val="21"/>
                <w:highlight w:val="none"/>
              </w:rPr>
              <w:t>地址：南京市御道街29号</w:t>
            </w:r>
          </w:p>
        </w:tc>
        <w:tc>
          <w:tcPr>
            <w:tcW w:w="4554" w:type="dxa"/>
          </w:tcPr>
          <w:p w14:paraId="5223900A">
            <w:pPr>
              <w:snapToGrid w:val="0"/>
              <w:spacing w:line="240" w:lineRule="atLeast"/>
              <w:rPr>
                <w:rFonts w:ascii="宋体" w:hAnsi="宋体"/>
                <w:highlight w:val="none"/>
              </w:rPr>
            </w:pPr>
            <w:r>
              <w:rPr>
                <w:rFonts w:hint="eastAsia" w:ascii="宋体" w:hAnsi="宋体"/>
                <w:highlight w:val="none"/>
              </w:rPr>
              <w:t>地址：</w:t>
            </w:r>
            <w:r>
              <w:rPr>
                <w:rFonts w:hint="eastAsia" w:ascii="宋体" w:hAnsi="宋体"/>
                <w:color w:val="FF0000"/>
                <w:highlight w:val="none"/>
              </w:rPr>
              <w:t>*****************</w:t>
            </w:r>
          </w:p>
        </w:tc>
      </w:tr>
      <w:tr w14:paraId="5803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1F39B118">
            <w:pPr>
              <w:snapToGrid w:val="0"/>
              <w:spacing w:line="240" w:lineRule="atLeast"/>
              <w:rPr>
                <w:rFonts w:ascii="宋体" w:hAnsi="宋体"/>
                <w:szCs w:val="21"/>
                <w:highlight w:val="none"/>
              </w:rPr>
            </w:pPr>
            <w:r>
              <w:rPr>
                <w:rFonts w:hint="eastAsia" w:ascii="宋体" w:hAnsi="宋体"/>
                <w:szCs w:val="21"/>
                <w:highlight w:val="none"/>
              </w:rPr>
              <w:t>法人代表/委托代理人（私章）：</w:t>
            </w:r>
          </w:p>
        </w:tc>
        <w:tc>
          <w:tcPr>
            <w:tcW w:w="4554" w:type="dxa"/>
          </w:tcPr>
          <w:p w14:paraId="45042147">
            <w:pPr>
              <w:snapToGrid w:val="0"/>
              <w:spacing w:line="240" w:lineRule="atLeast"/>
              <w:rPr>
                <w:rFonts w:ascii="宋体" w:hAnsi="宋体"/>
                <w:highlight w:val="none"/>
              </w:rPr>
            </w:pPr>
            <w:r>
              <w:rPr>
                <w:rFonts w:hint="eastAsia" w:ascii="宋体" w:hAnsi="宋体"/>
                <w:highlight w:val="none"/>
              </w:rPr>
              <w:t>法人代表人（签字或盖章）：</w:t>
            </w:r>
          </w:p>
        </w:tc>
      </w:tr>
      <w:tr w14:paraId="121A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63DB46D0">
            <w:pPr>
              <w:snapToGrid w:val="0"/>
              <w:spacing w:line="240" w:lineRule="atLeast"/>
              <w:rPr>
                <w:rFonts w:ascii="宋体" w:hAnsi="宋体"/>
                <w:szCs w:val="21"/>
                <w:highlight w:val="none"/>
              </w:rPr>
            </w:pPr>
            <w:r>
              <w:rPr>
                <w:rFonts w:hint="eastAsia" w:ascii="宋体" w:hAnsi="宋体"/>
                <w:szCs w:val="21"/>
                <w:highlight w:val="none"/>
              </w:rPr>
              <w:t>项目单位：</w:t>
            </w:r>
            <w:r>
              <w:rPr>
                <w:rFonts w:hint="eastAsia" w:ascii="宋体" w:hAnsi="宋体"/>
                <w:color w:val="FF0000"/>
                <w:szCs w:val="21"/>
                <w:highlight w:val="none"/>
              </w:rPr>
              <w:t>*****学院</w:t>
            </w:r>
          </w:p>
        </w:tc>
        <w:tc>
          <w:tcPr>
            <w:tcW w:w="4554" w:type="dxa"/>
          </w:tcPr>
          <w:p w14:paraId="0480E884">
            <w:pPr>
              <w:snapToGrid w:val="0"/>
              <w:spacing w:line="240" w:lineRule="atLeast"/>
              <w:rPr>
                <w:rFonts w:ascii="宋体" w:hAnsi="宋体"/>
                <w:highlight w:val="none"/>
              </w:rPr>
            </w:pPr>
            <w:r>
              <w:rPr>
                <w:rFonts w:hint="eastAsia" w:ascii="宋体" w:hAnsi="宋体"/>
                <w:highlight w:val="none"/>
              </w:rPr>
              <w:t>委托代理人（签字或</w:t>
            </w:r>
            <w:r>
              <w:rPr>
                <w:rFonts w:ascii="宋体" w:hAnsi="宋体"/>
                <w:highlight w:val="none"/>
              </w:rPr>
              <w:t>盖章</w:t>
            </w:r>
            <w:r>
              <w:rPr>
                <w:rFonts w:hint="eastAsia" w:ascii="宋体" w:hAnsi="宋体"/>
                <w:highlight w:val="none"/>
              </w:rPr>
              <w:t>）：</w:t>
            </w:r>
          </w:p>
        </w:tc>
      </w:tr>
      <w:tr w14:paraId="4B59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2D0D88AB">
            <w:pPr>
              <w:snapToGrid w:val="0"/>
              <w:spacing w:line="240" w:lineRule="atLeast"/>
              <w:rPr>
                <w:rFonts w:ascii="宋体" w:hAnsi="宋体"/>
                <w:szCs w:val="21"/>
                <w:highlight w:val="none"/>
              </w:rPr>
            </w:pPr>
            <w:r>
              <w:rPr>
                <w:rFonts w:hint="eastAsia" w:ascii="宋体" w:hAnsi="宋体"/>
                <w:szCs w:val="21"/>
                <w:highlight w:val="none"/>
              </w:rPr>
              <w:t>设备负责人（手签）：</w:t>
            </w:r>
          </w:p>
        </w:tc>
        <w:tc>
          <w:tcPr>
            <w:tcW w:w="4554" w:type="dxa"/>
          </w:tcPr>
          <w:p w14:paraId="5FD04B33">
            <w:pPr>
              <w:snapToGrid w:val="0"/>
              <w:spacing w:line="240" w:lineRule="atLeast"/>
              <w:rPr>
                <w:rFonts w:ascii="宋体" w:hAnsi="宋体"/>
                <w:highlight w:val="none"/>
              </w:rPr>
            </w:pPr>
            <w:r>
              <w:rPr>
                <w:rFonts w:hint="eastAsia" w:ascii="宋体" w:hAnsi="宋体"/>
                <w:highlight w:val="none"/>
              </w:rPr>
              <w:t>电话（固话、移动）：</w:t>
            </w:r>
            <w:r>
              <w:rPr>
                <w:rFonts w:hint="eastAsia" w:ascii="宋体" w:hAnsi="宋体"/>
                <w:color w:val="FF0000"/>
                <w:highlight w:val="none"/>
              </w:rPr>
              <w:t>025-********、139********</w:t>
            </w:r>
          </w:p>
        </w:tc>
      </w:tr>
      <w:tr w14:paraId="265F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52F39494">
            <w:pPr>
              <w:snapToGrid w:val="0"/>
              <w:spacing w:line="240" w:lineRule="atLeast"/>
              <w:rPr>
                <w:rFonts w:ascii="宋体" w:hAnsi="宋体"/>
                <w:szCs w:val="21"/>
                <w:highlight w:val="none"/>
              </w:rPr>
            </w:pPr>
            <w:r>
              <w:rPr>
                <w:rFonts w:hint="eastAsia" w:ascii="宋体" w:hAnsi="宋体"/>
                <w:szCs w:val="21"/>
                <w:highlight w:val="none"/>
              </w:rPr>
              <w:t>电话（固话、移动）：</w:t>
            </w:r>
            <w:r>
              <w:rPr>
                <w:rFonts w:hint="eastAsia" w:ascii="宋体" w:hAnsi="宋体"/>
                <w:color w:val="FF0000"/>
                <w:szCs w:val="21"/>
                <w:highlight w:val="none"/>
              </w:rPr>
              <w:t>025-8489****、139********</w:t>
            </w:r>
          </w:p>
        </w:tc>
        <w:tc>
          <w:tcPr>
            <w:tcW w:w="4554" w:type="dxa"/>
          </w:tcPr>
          <w:p w14:paraId="74E846F9">
            <w:pPr>
              <w:snapToGrid w:val="0"/>
              <w:spacing w:line="240" w:lineRule="atLeast"/>
              <w:rPr>
                <w:rFonts w:ascii="宋体" w:hAnsi="宋体"/>
                <w:highlight w:val="none"/>
              </w:rPr>
            </w:pPr>
          </w:p>
        </w:tc>
      </w:tr>
      <w:tr w14:paraId="1056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79C7C9B5">
            <w:pPr>
              <w:pStyle w:val="8"/>
              <w:shd w:val="clear" w:color="auto" w:fill="FFFFFF"/>
              <w:rPr>
                <w:sz w:val="21"/>
                <w:szCs w:val="21"/>
                <w:highlight w:val="none"/>
              </w:rPr>
            </w:pPr>
            <w:r>
              <w:rPr>
                <w:rFonts w:hint="eastAsia"/>
                <w:sz w:val="21"/>
                <w:szCs w:val="21"/>
                <w:highlight w:val="none"/>
              </w:rPr>
              <w:t>账户名称：南京航空航天大学</w:t>
            </w:r>
          </w:p>
        </w:tc>
        <w:tc>
          <w:tcPr>
            <w:tcW w:w="4554" w:type="dxa"/>
          </w:tcPr>
          <w:p w14:paraId="05012107">
            <w:pPr>
              <w:snapToGrid w:val="0"/>
              <w:spacing w:line="240" w:lineRule="atLeast"/>
              <w:rPr>
                <w:rFonts w:ascii="宋体" w:hAnsi="宋体"/>
                <w:highlight w:val="none"/>
              </w:rPr>
            </w:pPr>
            <w:r>
              <w:rPr>
                <w:rFonts w:hint="eastAsia" w:ascii="宋体" w:hAnsi="宋体"/>
                <w:highlight w:val="none"/>
              </w:rPr>
              <w:t>账户名称：</w:t>
            </w:r>
          </w:p>
        </w:tc>
      </w:tr>
      <w:tr w14:paraId="4E93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0CC357DB">
            <w:pPr>
              <w:pStyle w:val="8"/>
              <w:shd w:val="clear" w:color="auto" w:fill="FFFFFF"/>
              <w:rPr>
                <w:sz w:val="21"/>
                <w:szCs w:val="21"/>
                <w:highlight w:val="none"/>
              </w:rPr>
            </w:pPr>
            <w:r>
              <w:rPr>
                <w:rFonts w:hint="eastAsia"/>
                <w:sz w:val="21"/>
                <w:szCs w:val="21"/>
                <w:highlight w:val="none"/>
              </w:rPr>
              <w:t>开户银行：交通银行南京御道街支行</w:t>
            </w:r>
          </w:p>
        </w:tc>
        <w:tc>
          <w:tcPr>
            <w:tcW w:w="4554" w:type="dxa"/>
          </w:tcPr>
          <w:p w14:paraId="615D88F3">
            <w:pPr>
              <w:snapToGrid w:val="0"/>
              <w:spacing w:line="240" w:lineRule="atLeast"/>
              <w:rPr>
                <w:rFonts w:ascii="宋体" w:hAnsi="宋体"/>
                <w:highlight w:val="none"/>
              </w:rPr>
            </w:pPr>
            <w:r>
              <w:rPr>
                <w:rFonts w:hint="eastAsia" w:ascii="宋体" w:hAnsi="宋体"/>
                <w:highlight w:val="none"/>
              </w:rPr>
              <w:t>开户银行：</w:t>
            </w:r>
            <w:r>
              <w:rPr>
                <w:rFonts w:hint="eastAsia" w:ascii="宋体" w:hAnsi="宋体"/>
                <w:color w:val="FF0000"/>
                <w:highlight w:val="none"/>
              </w:rPr>
              <w:t>*****************</w:t>
            </w:r>
          </w:p>
        </w:tc>
      </w:tr>
      <w:tr w14:paraId="7BF5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7918E93E">
            <w:pPr>
              <w:pStyle w:val="8"/>
              <w:shd w:val="clear" w:color="auto" w:fill="FFFFFF"/>
              <w:rPr>
                <w:sz w:val="21"/>
                <w:szCs w:val="21"/>
                <w:highlight w:val="none"/>
              </w:rPr>
            </w:pPr>
            <w:r>
              <w:rPr>
                <w:rFonts w:hint="eastAsia"/>
                <w:sz w:val="21"/>
                <w:szCs w:val="21"/>
                <w:highlight w:val="none"/>
              </w:rPr>
              <w:t>银行账号：320006639010149000354</w:t>
            </w:r>
          </w:p>
        </w:tc>
        <w:tc>
          <w:tcPr>
            <w:tcW w:w="4554" w:type="dxa"/>
          </w:tcPr>
          <w:p w14:paraId="799F1B95">
            <w:pPr>
              <w:snapToGrid w:val="0"/>
              <w:spacing w:line="240" w:lineRule="atLeast"/>
              <w:rPr>
                <w:rFonts w:ascii="宋体" w:hAnsi="宋体"/>
                <w:highlight w:val="none"/>
              </w:rPr>
            </w:pPr>
            <w:r>
              <w:rPr>
                <w:rFonts w:hint="eastAsia" w:ascii="宋体" w:hAnsi="宋体"/>
                <w:highlight w:val="none"/>
              </w:rPr>
              <w:t>银行帐号：</w:t>
            </w:r>
            <w:r>
              <w:rPr>
                <w:rFonts w:hint="eastAsia" w:ascii="宋体" w:hAnsi="宋体"/>
                <w:color w:val="FF0000"/>
                <w:highlight w:val="none"/>
              </w:rPr>
              <w:t>***************</w:t>
            </w:r>
          </w:p>
        </w:tc>
      </w:tr>
      <w:tr w14:paraId="536C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446" w:type="dxa"/>
          </w:tcPr>
          <w:p w14:paraId="7301808E">
            <w:pPr>
              <w:snapToGrid w:val="0"/>
              <w:spacing w:line="240" w:lineRule="atLeast"/>
              <w:rPr>
                <w:rFonts w:ascii="宋体" w:hAnsi="宋体"/>
                <w:highlight w:val="none"/>
              </w:rPr>
            </w:pPr>
          </w:p>
        </w:tc>
        <w:tc>
          <w:tcPr>
            <w:tcW w:w="4554" w:type="dxa"/>
          </w:tcPr>
          <w:p w14:paraId="7A0159BC">
            <w:pPr>
              <w:snapToGrid w:val="0"/>
              <w:spacing w:line="240" w:lineRule="atLeast"/>
              <w:ind w:firstLine="945" w:firstLineChars="450"/>
              <w:rPr>
                <w:rFonts w:ascii="宋体" w:hAnsi="宋体"/>
                <w:highlight w:val="none"/>
              </w:rPr>
            </w:pPr>
            <w:r>
              <w:rPr>
                <w:rFonts w:hint="eastAsia" w:ascii="宋体" w:hAnsi="宋体"/>
                <w:highlight w:val="none"/>
              </w:rPr>
              <w:t>合同</w:t>
            </w:r>
            <w:r>
              <w:rPr>
                <w:rFonts w:ascii="宋体" w:hAnsi="宋体"/>
                <w:highlight w:val="none"/>
              </w:rPr>
              <w:t>签订</w:t>
            </w:r>
            <w:r>
              <w:rPr>
                <w:rFonts w:hint="eastAsia" w:ascii="宋体" w:hAnsi="宋体"/>
                <w:highlight w:val="none"/>
              </w:rPr>
              <w:t xml:space="preserve">日期：  </w:t>
            </w:r>
            <w:r>
              <w:rPr>
                <w:rFonts w:hint="eastAsia" w:ascii="宋体" w:hAnsi="宋体"/>
                <w:color w:val="FF0000"/>
                <w:highlight w:val="none"/>
              </w:rPr>
              <w:t xml:space="preserve">   </w:t>
            </w:r>
            <w:r>
              <w:rPr>
                <w:rFonts w:hint="eastAsia" w:ascii="宋体" w:hAnsi="宋体"/>
                <w:highlight w:val="none"/>
              </w:rPr>
              <w:t>年</w:t>
            </w:r>
            <w:r>
              <w:rPr>
                <w:rFonts w:hint="eastAsia" w:ascii="宋体" w:hAnsi="宋体"/>
                <w:color w:val="FF0000"/>
                <w:highlight w:val="none"/>
              </w:rPr>
              <w:t xml:space="preserve">    </w:t>
            </w:r>
            <w:r>
              <w:rPr>
                <w:rFonts w:hint="eastAsia" w:ascii="宋体" w:hAnsi="宋体"/>
                <w:highlight w:val="none"/>
              </w:rPr>
              <w:t>月</w:t>
            </w:r>
            <w:r>
              <w:rPr>
                <w:rFonts w:hint="eastAsia" w:ascii="宋体" w:hAnsi="宋体"/>
                <w:color w:val="FF0000"/>
                <w:highlight w:val="none"/>
              </w:rPr>
              <w:t xml:space="preserve">    </w:t>
            </w:r>
            <w:r>
              <w:rPr>
                <w:rFonts w:hint="eastAsia" w:ascii="宋体" w:hAnsi="宋体"/>
                <w:highlight w:val="none"/>
              </w:rPr>
              <w:t>日</w:t>
            </w:r>
          </w:p>
        </w:tc>
      </w:tr>
    </w:tbl>
    <w:p w14:paraId="0A81F754">
      <w:pPr>
        <w:widowControl/>
        <w:spacing w:line="300" w:lineRule="auto"/>
        <w:rPr>
          <w:rFonts w:hAnsi="宋体"/>
          <w:szCs w:val="24"/>
          <w:highlight w:val="none"/>
        </w:rPr>
      </w:pPr>
      <w:r>
        <w:rPr>
          <w:rFonts w:hint="eastAsia" w:hAnsi="宋体"/>
          <w:szCs w:val="24"/>
          <w:highlight w:val="none"/>
        </w:rPr>
        <w:t xml:space="preserve">附件                  </w:t>
      </w:r>
      <w:r>
        <w:rPr>
          <w:rFonts w:hAnsi="宋体"/>
          <w:sz w:val="44"/>
          <w:szCs w:val="44"/>
          <w:highlight w:val="none"/>
        </w:rPr>
        <w:t xml:space="preserve">     </w:t>
      </w:r>
      <w:r>
        <w:rPr>
          <w:rFonts w:hint="eastAsia" w:hAnsi="宋体"/>
          <w:sz w:val="44"/>
          <w:szCs w:val="44"/>
          <w:highlight w:val="none"/>
        </w:rPr>
        <w:t>技术协议</w:t>
      </w:r>
    </w:p>
    <w:p w14:paraId="595BA8BF">
      <w:pPr>
        <w:widowControl/>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bookmarkStart w:id="33" w:name="_Toc379988458"/>
      <w:r>
        <w:rPr>
          <w:rFonts w:hint="eastAsia" w:asciiTheme="minorEastAsia" w:hAnsiTheme="minorEastAsia" w:eastAsiaTheme="minorEastAsia"/>
          <w:sz w:val="24"/>
          <w:szCs w:val="24"/>
          <w:highlight w:val="none"/>
        </w:rPr>
        <w:t>甲方（南京航空航天大学）和乙方（</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）达成如下协议，双方共同遵守。</w:t>
      </w:r>
    </w:p>
    <w:p w14:paraId="3C6F710D">
      <w:pPr>
        <w:widowControl/>
        <w:ind w:firstLine="480" w:firstLineChars="20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一、本协议是为对合同专用条款、通用条款以及招投标文件中未明确的部分进行说明，若招标文件和投标文件与本技术协议有出入或冲突，以对甲方最优条款为准。</w:t>
      </w:r>
    </w:p>
    <w:p w14:paraId="52A86E7A">
      <w:pPr>
        <w:widowControl/>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bookmarkEnd w:id="33"/>
      <w:r>
        <w:rPr>
          <w:rFonts w:hint="eastAsia" w:asciiTheme="minorEastAsia" w:hAnsiTheme="minorEastAsia" w:eastAsiaTheme="minorEastAsia"/>
          <w:sz w:val="24"/>
          <w:szCs w:val="24"/>
          <w:highlight w:val="none"/>
        </w:rPr>
        <w:t>二、系统配置清单</w:t>
      </w:r>
    </w:p>
    <w:tbl>
      <w:tblPr>
        <w:tblStyle w:val="9"/>
        <w:tblW w:w="98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4"/>
        <w:gridCol w:w="3685"/>
        <w:gridCol w:w="1370"/>
        <w:gridCol w:w="1519"/>
        <w:gridCol w:w="1301"/>
        <w:gridCol w:w="1301"/>
      </w:tblGrid>
      <w:tr w14:paraId="7AE70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14:paraId="44C49D75">
            <w:pPr>
              <w:widowControl/>
              <w:jc w:val="center"/>
              <w:rPr>
                <w:rFonts w:hAnsi="宋体" w:cs="宋体"/>
                <w:b/>
                <w:bCs/>
                <w:color w:val="000000"/>
                <w:szCs w:val="21"/>
                <w:highlight w:val="none"/>
              </w:rPr>
            </w:pPr>
            <w:r>
              <w:rPr>
                <w:rFonts w:hint="eastAsia" w:hAnsi="宋体" w:cs="宋体"/>
                <w:b/>
                <w:bCs/>
                <w:color w:val="000000"/>
                <w:szCs w:val="21"/>
                <w:highlight w:val="none"/>
              </w:rPr>
              <w:t>序号</w:t>
            </w:r>
          </w:p>
        </w:tc>
        <w:tc>
          <w:tcPr>
            <w:tcW w:w="3685" w:type="dxa"/>
            <w:vAlign w:val="center"/>
          </w:tcPr>
          <w:p w14:paraId="4AE8137C">
            <w:pPr>
              <w:widowControl/>
              <w:jc w:val="center"/>
              <w:rPr>
                <w:rFonts w:hAnsi="宋体" w:cs="宋体"/>
                <w:b/>
                <w:bCs/>
                <w:color w:val="000000"/>
                <w:szCs w:val="21"/>
                <w:highlight w:val="none"/>
              </w:rPr>
            </w:pPr>
            <w:r>
              <w:rPr>
                <w:rFonts w:hint="eastAsia" w:hAnsi="宋体" w:cs="宋体"/>
                <w:b/>
                <w:bCs/>
                <w:color w:val="000000"/>
                <w:szCs w:val="21"/>
                <w:highlight w:val="none"/>
              </w:rPr>
              <w:t>名称</w:t>
            </w:r>
          </w:p>
        </w:tc>
        <w:tc>
          <w:tcPr>
            <w:tcW w:w="1370" w:type="dxa"/>
            <w:vAlign w:val="center"/>
          </w:tcPr>
          <w:p w14:paraId="0094E060">
            <w:pPr>
              <w:widowControl/>
              <w:jc w:val="center"/>
              <w:rPr>
                <w:rFonts w:hAnsi="宋体" w:cs="宋体"/>
                <w:b/>
                <w:bCs/>
                <w:color w:val="000000"/>
                <w:szCs w:val="21"/>
                <w:highlight w:val="none"/>
              </w:rPr>
            </w:pPr>
            <w:r>
              <w:rPr>
                <w:rFonts w:hint="eastAsia" w:hAnsi="宋体" w:cs="宋体"/>
                <w:b/>
                <w:bCs/>
                <w:color w:val="000000"/>
                <w:szCs w:val="21"/>
                <w:highlight w:val="none"/>
              </w:rPr>
              <w:t>单价</w:t>
            </w:r>
          </w:p>
        </w:tc>
        <w:tc>
          <w:tcPr>
            <w:tcW w:w="1519" w:type="dxa"/>
            <w:vAlign w:val="center"/>
          </w:tcPr>
          <w:p w14:paraId="600E5C85">
            <w:pPr>
              <w:widowControl/>
              <w:jc w:val="center"/>
              <w:rPr>
                <w:rFonts w:hAnsi="宋体" w:cs="宋体"/>
                <w:b/>
                <w:bCs/>
                <w:color w:val="000000"/>
                <w:szCs w:val="21"/>
                <w:highlight w:val="none"/>
              </w:rPr>
            </w:pPr>
            <w:r>
              <w:rPr>
                <w:rFonts w:hint="eastAsia" w:hAnsi="宋体" w:cs="宋体"/>
                <w:b/>
                <w:bCs/>
                <w:color w:val="000000"/>
                <w:szCs w:val="21"/>
                <w:highlight w:val="none"/>
              </w:rPr>
              <w:t>数量</w:t>
            </w:r>
          </w:p>
        </w:tc>
        <w:tc>
          <w:tcPr>
            <w:tcW w:w="1301" w:type="dxa"/>
            <w:vAlign w:val="center"/>
          </w:tcPr>
          <w:p w14:paraId="3BB20D9D">
            <w:pPr>
              <w:widowControl/>
              <w:jc w:val="center"/>
              <w:rPr>
                <w:rFonts w:hAnsi="宋体" w:cs="宋体"/>
                <w:b/>
                <w:bCs/>
                <w:color w:val="000000"/>
                <w:szCs w:val="21"/>
                <w:highlight w:val="none"/>
              </w:rPr>
            </w:pPr>
            <w:r>
              <w:rPr>
                <w:rFonts w:hint="eastAsia" w:hAnsi="宋体" w:cs="宋体"/>
                <w:b/>
                <w:bCs/>
                <w:color w:val="000000"/>
                <w:szCs w:val="21"/>
                <w:highlight w:val="none"/>
              </w:rPr>
              <w:t>金额</w:t>
            </w:r>
          </w:p>
        </w:tc>
        <w:tc>
          <w:tcPr>
            <w:tcW w:w="1301" w:type="dxa"/>
            <w:vAlign w:val="center"/>
          </w:tcPr>
          <w:p w14:paraId="4D475DE2">
            <w:pPr>
              <w:widowControl/>
              <w:jc w:val="center"/>
              <w:rPr>
                <w:rFonts w:hAnsi="宋体" w:cs="宋体"/>
                <w:b/>
                <w:bCs/>
                <w:color w:val="000000"/>
                <w:szCs w:val="21"/>
                <w:highlight w:val="none"/>
              </w:rPr>
            </w:pPr>
            <w:r>
              <w:rPr>
                <w:rFonts w:hint="eastAsia" w:hAnsi="宋体" w:cs="宋体"/>
                <w:b/>
                <w:bCs/>
                <w:color w:val="000000"/>
                <w:szCs w:val="21"/>
                <w:highlight w:val="none"/>
              </w:rPr>
              <w:t>规格型号</w:t>
            </w:r>
          </w:p>
        </w:tc>
      </w:tr>
      <w:tr w14:paraId="6E5F8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556B1A6A">
            <w:pPr>
              <w:widowControl/>
              <w:jc w:val="center"/>
              <w:rPr>
                <w:rFonts w:hAnsi="宋体" w:cs="宋体"/>
                <w:b/>
                <w:bCs/>
                <w:color w:val="000000"/>
                <w:szCs w:val="21"/>
                <w:highlight w:val="none"/>
              </w:rPr>
            </w:pPr>
            <w:r>
              <w:rPr>
                <w:rFonts w:hint="eastAsia" w:hAnsi="宋体" w:cs="宋体"/>
                <w:b/>
                <w:bCs/>
                <w:color w:val="000000"/>
                <w:szCs w:val="21"/>
                <w:highlight w:val="none"/>
              </w:rPr>
              <w:t>一</w:t>
            </w:r>
          </w:p>
        </w:tc>
        <w:tc>
          <w:tcPr>
            <w:tcW w:w="5055" w:type="dxa"/>
            <w:gridSpan w:val="2"/>
            <w:vAlign w:val="center"/>
          </w:tcPr>
          <w:p w14:paraId="1311FB7F">
            <w:pPr>
              <w:widowControl/>
              <w:jc w:val="center"/>
              <w:rPr>
                <w:rFonts w:hAnsi="宋体" w:cs="宋体"/>
                <w:b/>
                <w:bCs/>
                <w:color w:val="000000"/>
                <w:szCs w:val="21"/>
                <w:highlight w:val="none"/>
              </w:rPr>
            </w:pPr>
          </w:p>
        </w:tc>
        <w:tc>
          <w:tcPr>
            <w:tcW w:w="1519" w:type="dxa"/>
            <w:vAlign w:val="center"/>
          </w:tcPr>
          <w:p w14:paraId="6056ED3A">
            <w:pPr>
              <w:widowControl/>
              <w:jc w:val="center"/>
              <w:rPr>
                <w:rFonts w:hAnsi="宋体" w:cs="宋体"/>
                <w:b/>
                <w:bCs/>
                <w:color w:val="000000"/>
                <w:szCs w:val="21"/>
                <w:highlight w:val="none"/>
              </w:rPr>
            </w:pPr>
          </w:p>
        </w:tc>
        <w:tc>
          <w:tcPr>
            <w:tcW w:w="1301" w:type="dxa"/>
          </w:tcPr>
          <w:p w14:paraId="1DA8EF1F">
            <w:pPr>
              <w:widowControl/>
              <w:jc w:val="center"/>
              <w:rPr>
                <w:rFonts w:hAnsi="宋体" w:cs="宋体"/>
                <w:b/>
                <w:bCs/>
                <w:color w:val="000000"/>
                <w:szCs w:val="21"/>
                <w:highlight w:val="none"/>
              </w:rPr>
            </w:pPr>
          </w:p>
        </w:tc>
        <w:tc>
          <w:tcPr>
            <w:tcW w:w="1301" w:type="dxa"/>
            <w:vAlign w:val="center"/>
          </w:tcPr>
          <w:p w14:paraId="51509C66">
            <w:pPr>
              <w:widowControl/>
              <w:jc w:val="center"/>
              <w:rPr>
                <w:rFonts w:hAnsi="宋体" w:cs="宋体"/>
                <w:b/>
                <w:bCs/>
                <w:color w:val="000000"/>
                <w:szCs w:val="21"/>
                <w:highlight w:val="none"/>
              </w:rPr>
            </w:pPr>
          </w:p>
        </w:tc>
      </w:tr>
      <w:tr w14:paraId="53E5F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74" w:type="dxa"/>
            <w:vAlign w:val="center"/>
          </w:tcPr>
          <w:p w14:paraId="25D4345E">
            <w:pPr>
              <w:widowControl/>
              <w:jc w:val="center"/>
              <w:rPr>
                <w:rFonts w:hAnsi="宋体" w:cs="宋体"/>
                <w:color w:val="000000"/>
                <w:szCs w:val="21"/>
                <w:highlight w:val="none"/>
              </w:rPr>
            </w:pPr>
            <w:r>
              <w:rPr>
                <w:rFonts w:hint="eastAsia" w:hAnsi="宋体" w:cs="宋体"/>
                <w:color w:val="000000"/>
                <w:szCs w:val="21"/>
                <w:highlight w:val="none"/>
              </w:rPr>
              <w:t>1</w:t>
            </w:r>
          </w:p>
        </w:tc>
        <w:tc>
          <w:tcPr>
            <w:tcW w:w="3685" w:type="dxa"/>
            <w:vAlign w:val="center"/>
          </w:tcPr>
          <w:p w14:paraId="5C78C95D">
            <w:pPr>
              <w:widowControl/>
              <w:jc w:val="center"/>
              <w:rPr>
                <w:rFonts w:hAnsi="宋体" w:cs="宋体"/>
                <w:color w:val="000000"/>
                <w:szCs w:val="21"/>
                <w:highlight w:val="none"/>
              </w:rPr>
            </w:pPr>
          </w:p>
        </w:tc>
        <w:tc>
          <w:tcPr>
            <w:tcW w:w="1370" w:type="dxa"/>
            <w:vAlign w:val="center"/>
          </w:tcPr>
          <w:p w14:paraId="3FA1E893">
            <w:pPr>
              <w:widowControl/>
              <w:jc w:val="center"/>
              <w:rPr>
                <w:rFonts w:hAnsi="宋体" w:cs="宋体"/>
                <w:szCs w:val="21"/>
                <w:highlight w:val="none"/>
              </w:rPr>
            </w:pPr>
          </w:p>
        </w:tc>
        <w:tc>
          <w:tcPr>
            <w:tcW w:w="1519" w:type="dxa"/>
            <w:vAlign w:val="center"/>
          </w:tcPr>
          <w:p w14:paraId="2EEB4A5A">
            <w:pPr>
              <w:widowControl/>
              <w:jc w:val="center"/>
              <w:rPr>
                <w:rFonts w:hAnsi="宋体" w:cs="宋体"/>
                <w:color w:val="000000"/>
                <w:szCs w:val="21"/>
                <w:highlight w:val="none"/>
              </w:rPr>
            </w:pPr>
          </w:p>
        </w:tc>
        <w:tc>
          <w:tcPr>
            <w:tcW w:w="1301" w:type="dxa"/>
          </w:tcPr>
          <w:p w14:paraId="74E570AC">
            <w:pPr>
              <w:widowControl/>
              <w:jc w:val="center"/>
              <w:rPr>
                <w:rFonts w:hAnsi="宋体" w:cs="宋体"/>
                <w:color w:val="000000"/>
                <w:szCs w:val="21"/>
                <w:highlight w:val="none"/>
              </w:rPr>
            </w:pPr>
          </w:p>
        </w:tc>
        <w:tc>
          <w:tcPr>
            <w:tcW w:w="1301" w:type="dxa"/>
            <w:vAlign w:val="center"/>
          </w:tcPr>
          <w:p w14:paraId="06C4FE97">
            <w:pPr>
              <w:widowControl/>
              <w:jc w:val="center"/>
              <w:rPr>
                <w:rFonts w:hAnsi="宋体" w:cs="宋体"/>
                <w:color w:val="000000"/>
                <w:szCs w:val="21"/>
                <w:highlight w:val="none"/>
              </w:rPr>
            </w:pPr>
          </w:p>
        </w:tc>
      </w:tr>
      <w:tr w14:paraId="73647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74" w:type="dxa"/>
            <w:vAlign w:val="center"/>
          </w:tcPr>
          <w:p w14:paraId="67560E69">
            <w:pPr>
              <w:widowControl/>
              <w:jc w:val="center"/>
              <w:rPr>
                <w:rFonts w:hAnsi="宋体" w:cs="宋体"/>
                <w:color w:val="000000"/>
                <w:szCs w:val="21"/>
                <w:highlight w:val="none"/>
              </w:rPr>
            </w:pPr>
            <w:r>
              <w:rPr>
                <w:rFonts w:hint="eastAsia" w:hAnsi="宋体" w:cs="宋体"/>
                <w:color w:val="000000"/>
                <w:szCs w:val="21"/>
                <w:highlight w:val="none"/>
              </w:rPr>
              <w:t>2</w:t>
            </w:r>
          </w:p>
        </w:tc>
        <w:tc>
          <w:tcPr>
            <w:tcW w:w="3685" w:type="dxa"/>
            <w:vAlign w:val="center"/>
          </w:tcPr>
          <w:p w14:paraId="258AD66C">
            <w:pPr>
              <w:widowControl/>
              <w:jc w:val="center"/>
              <w:rPr>
                <w:rFonts w:hAnsi="宋体" w:cs="宋体"/>
                <w:color w:val="000000"/>
                <w:szCs w:val="21"/>
                <w:highlight w:val="none"/>
              </w:rPr>
            </w:pPr>
          </w:p>
        </w:tc>
        <w:tc>
          <w:tcPr>
            <w:tcW w:w="1370" w:type="dxa"/>
            <w:vAlign w:val="center"/>
          </w:tcPr>
          <w:p w14:paraId="4956F131">
            <w:pPr>
              <w:widowControl/>
              <w:jc w:val="center"/>
              <w:rPr>
                <w:rFonts w:hAnsi="宋体" w:cs="宋体"/>
                <w:color w:val="000000"/>
                <w:szCs w:val="21"/>
                <w:highlight w:val="none"/>
              </w:rPr>
            </w:pPr>
          </w:p>
        </w:tc>
        <w:tc>
          <w:tcPr>
            <w:tcW w:w="1519" w:type="dxa"/>
            <w:vAlign w:val="center"/>
          </w:tcPr>
          <w:p w14:paraId="38CDB31A">
            <w:pPr>
              <w:widowControl/>
              <w:jc w:val="center"/>
              <w:rPr>
                <w:rFonts w:hAnsi="宋体" w:cs="宋体"/>
                <w:color w:val="000000"/>
                <w:szCs w:val="21"/>
                <w:highlight w:val="none"/>
              </w:rPr>
            </w:pPr>
          </w:p>
        </w:tc>
        <w:tc>
          <w:tcPr>
            <w:tcW w:w="1301" w:type="dxa"/>
          </w:tcPr>
          <w:p w14:paraId="7FCE8D30">
            <w:pPr>
              <w:widowControl/>
              <w:jc w:val="center"/>
              <w:rPr>
                <w:rFonts w:hAnsi="宋体" w:cs="宋体"/>
                <w:color w:val="000000"/>
                <w:szCs w:val="21"/>
                <w:highlight w:val="none"/>
              </w:rPr>
            </w:pPr>
          </w:p>
        </w:tc>
        <w:tc>
          <w:tcPr>
            <w:tcW w:w="1301" w:type="dxa"/>
            <w:vAlign w:val="center"/>
          </w:tcPr>
          <w:p w14:paraId="61AB725D">
            <w:pPr>
              <w:widowControl/>
              <w:jc w:val="center"/>
              <w:rPr>
                <w:rFonts w:hAnsi="宋体" w:cs="宋体"/>
                <w:color w:val="000000"/>
                <w:szCs w:val="21"/>
                <w:highlight w:val="none"/>
              </w:rPr>
            </w:pPr>
          </w:p>
        </w:tc>
      </w:tr>
      <w:tr w14:paraId="0E2211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14:paraId="3A75E032">
            <w:pPr>
              <w:widowControl/>
              <w:jc w:val="center"/>
              <w:rPr>
                <w:rFonts w:hAnsi="宋体" w:cs="宋体"/>
                <w:color w:val="000000"/>
                <w:szCs w:val="21"/>
                <w:highlight w:val="none"/>
              </w:rPr>
            </w:pPr>
            <w:r>
              <w:rPr>
                <w:rFonts w:hint="eastAsia" w:hAnsi="宋体" w:cs="宋体"/>
                <w:color w:val="000000"/>
                <w:szCs w:val="21"/>
                <w:highlight w:val="none"/>
              </w:rPr>
              <w:t>3</w:t>
            </w:r>
          </w:p>
        </w:tc>
        <w:tc>
          <w:tcPr>
            <w:tcW w:w="3685" w:type="dxa"/>
            <w:vAlign w:val="center"/>
          </w:tcPr>
          <w:p w14:paraId="7F805CAC">
            <w:pPr>
              <w:widowControl/>
              <w:jc w:val="center"/>
              <w:rPr>
                <w:rFonts w:hAnsi="宋体" w:cs="宋体"/>
                <w:color w:val="000000"/>
                <w:szCs w:val="21"/>
                <w:highlight w:val="none"/>
              </w:rPr>
            </w:pPr>
          </w:p>
        </w:tc>
        <w:tc>
          <w:tcPr>
            <w:tcW w:w="1370" w:type="dxa"/>
            <w:vAlign w:val="center"/>
          </w:tcPr>
          <w:p w14:paraId="7BE240C6">
            <w:pPr>
              <w:widowControl/>
              <w:jc w:val="center"/>
              <w:rPr>
                <w:rFonts w:hAnsi="宋体" w:cs="宋体"/>
                <w:color w:val="000000"/>
                <w:szCs w:val="21"/>
                <w:highlight w:val="none"/>
              </w:rPr>
            </w:pPr>
          </w:p>
        </w:tc>
        <w:tc>
          <w:tcPr>
            <w:tcW w:w="1519" w:type="dxa"/>
            <w:vAlign w:val="center"/>
          </w:tcPr>
          <w:p w14:paraId="2D8E5603">
            <w:pPr>
              <w:widowControl/>
              <w:jc w:val="center"/>
              <w:rPr>
                <w:rFonts w:hAnsi="宋体" w:cs="宋体"/>
                <w:color w:val="000000"/>
                <w:szCs w:val="21"/>
                <w:highlight w:val="none"/>
              </w:rPr>
            </w:pPr>
          </w:p>
        </w:tc>
        <w:tc>
          <w:tcPr>
            <w:tcW w:w="1301" w:type="dxa"/>
          </w:tcPr>
          <w:p w14:paraId="5C7F7E17">
            <w:pPr>
              <w:widowControl/>
              <w:jc w:val="center"/>
              <w:rPr>
                <w:rFonts w:hAnsi="宋体" w:cs="宋体"/>
                <w:color w:val="000000"/>
                <w:szCs w:val="21"/>
                <w:highlight w:val="none"/>
              </w:rPr>
            </w:pPr>
          </w:p>
        </w:tc>
        <w:tc>
          <w:tcPr>
            <w:tcW w:w="1301" w:type="dxa"/>
            <w:vAlign w:val="center"/>
          </w:tcPr>
          <w:p w14:paraId="2B8710CE">
            <w:pPr>
              <w:widowControl/>
              <w:jc w:val="center"/>
              <w:rPr>
                <w:rFonts w:hAnsi="宋体" w:cs="宋体"/>
                <w:color w:val="000000"/>
                <w:szCs w:val="21"/>
                <w:highlight w:val="none"/>
              </w:rPr>
            </w:pPr>
          </w:p>
        </w:tc>
      </w:tr>
      <w:tr w14:paraId="4C5CD9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1AF5171A">
            <w:pPr>
              <w:widowControl/>
              <w:jc w:val="center"/>
              <w:rPr>
                <w:rFonts w:hAnsi="宋体" w:cs="宋体"/>
                <w:color w:val="000000"/>
                <w:szCs w:val="21"/>
                <w:highlight w:val="none"/>
              </w:rPr>
            </w:pPr>
            <w:r>
              <w:rPr>
                <w:rFonts w:hint="eastAsia" w:hAnsi="宋体" w:cs="宋体"/>
                <w:color w:val="000000"/>
                <w:szCs w:val="21"/>
                <w:highlight w:val="none"/>
              </w:rPr>
              <w:t>4</w:t>
            </w:r>
          </w:p>
        </w:tc>
        <w:tc>
          <w:tcPr>
            <w:tcW w:w="3685" w:type="dxa"/>
            <w:vAlign w:val="center"/>
          </w:tcPr>
          <w:p w14:paraId="7AF81260">
            <w:pPr>
              <w:widowControl/>
              <w:jc w:val="center"/>
              <w:rPr>
                <w:rFonts w:hAnsi="宋体" w:cs="宋体"/>
                <w:color w:val="000000"/>
                <w:szCs w:val="21"/>
                <w:highlight w:val="none"/>
              </w:rPr>
            </w:pPr>
          </w:p>
        </w:tc>
        <w:tc>
          <w:tcPr>
            <w:tcW w:w="1370" w:type="dxa"/>
            <w:vAlign w:val="center"/>
          </w:tcPr>
          <w:p w14:paraId="214CB404">
            <w:pPr>
              <w:widowControl/>
              <w:jc w:val="center"/>
              <w:rPr>
                <w:rFonts w:hAnsi="宋体" w:cs="宋体"/>
                <w:color w:val="000000"/>
                <w:szCs w:val="21"/>
                <w:highlight w:val="none"/>
              </w:rPr>
            </w:pPr>
          </w:p>
        </w:tc>
        <w:tc>
          <w:tcPr>
            <w:tcW w:w="1519" w:type="dxa"/>
            <w:vAlign w:val="center"/>
          </w:tcPr>
          <w:p w14:paraId="62F3270F">
            <w:pPr>
              <w:widowControl/>
              <w:jc w:val="center"/>
              <w:rPr>
                <w:rFonts w:hAnsi="宋体" w:cs="宋体"/>
                <w:color w:val="000000"/>
                <w:szCs w:val="21"/>
                <w:highlight w:val="none"/>
              </w:rPr>
            </w:pPr>
          </w:p>
        </w:tc>
        <w:tc>
          <w:tcPr>
            <w:tcW w:w="1301" w:type="dxa"/>
          </w:tcPr>
          <w:p w14:paraId="7CFEE1A9">
            <w:pPr>
              <w:widowControl/>
              <w:jc w:val="center"/>
              <w:rPr>
                <w:rFonts w:hAnsi="宋体" w:cs="宋体"/>
                <w:color w:val="000000"/>
                <w:szCs w:val="21"/>
                <w:highlight w:val="none"/>
              </w:rPr>
            </w:pPr>
          </w:p>
        </w:tc>
        <w:tc>
          <w:tcPr>
            <w:tcW w:w="1301" w:type="dxa"/>
            <w:vAlign w:val="center"/>
          </w:tcPr>
          <w:p w14:paraId="4792BF7E">
            <w:pPr>
              <w:widowControl/>
              <w:jc w:val="center"/>
              <w:rPr>
                <w:rFonts w:hAnsi="宋体" w:cs="宋体"/>
                <w:color w:val="000000"/>
                <w:szCs w:val="21"/>
                <w:highlight w:val="none"/>
              </w:rPr>
            </w:pPr>
          </w:p>
        </w:tc>
      </w:tr>
      <w:tr w14:paraId="641D3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59910459">
            <w:pPr>
              <w:widowControl/>
              <w:jc w:val="center"/>
              <w:rPr>
                <w:rFonts w:hAnsi="宋体" w:cs="宋体"/>
                <w:color w:val="000000"/>
                <w:szCs w:val="21"/>
                <w:highlight w:val="none"/>
              </w:rPr>
            </w:pPr>
            <w:r>
              <w:rPr>
                <w:rFonts w:hint="eastAsia" w:hAnsi="宋体" w:cs="宋体"/>
                <w:color w:val="000000"/>
                <w:szCs w:val="21"/>
                <w:highlight w:val="none"/>
              </w:rPr>
              <w:t>5</w:t>
            </w:r>
          </w:p>
        </w:tc>
        <w:tc>
          <w:tcPr>
            <w:tcW w:w="3685" w:type="dxa"/>
            <w:vAlign w:val="center"/>
          </w:tcPr>
          <w:p w14:paraId="36D5B179">
            <w:pPr>
              <w:widowControl/>
              <w:jc w:val="center"/>
              <w:rPr>
                <w:rFonts w:hAnsi="宋体" w:cs="宋体"/>
                <w:color w:val="000000"/>
                <w:szCs w:val="21"/>
                <w:highlight w:val="none"/>
              </w:rPr>
            </w:pPr>
          </w:p>
        </w:tc>
        <w:tc>
          <w:tcPr>
            <w:tcW w:w="1370" w:type="dxa"/>
            <w:vAlign w:val="center"/>
          </w:tcPr>
          <w:p w14:paraId="7C6A2868">
            <w:pPr>
              <w:widowControl/>
              <w:jc w:val="center"/>
              <w:rPr>
                <w:rFonts w:hAnsi="宋体" w:cs="宋体"/>
                <w:color w:val="000000"/>
                <w:szCs w:val="21"/>
                <w:highlight w:val="none"/>
              </w:rPr>
            </w:pPr>
          </w:p>
        </w:tc>
        <w:tc>
          <w:tcPr>
            <w:tcW w:w="1519" w:type="dxa"/>
            <w:vAlign w:val="center"/>
          </w:tcPr>
          <w:p w14:paraId="297C6FC6">
            <w:pPr>
              <w:widowControl/>
              <w:jc w:val="center"/>
              <w:rPr>
                <w:rFonts w:hAnsi="宋体" w:cs="宋体"/>
                <w:color w:val="000000"/>
                <w:szCs w:val="21"/>
                <w:highlight w:val="none"/>
              </w:rPr>
            </w:pPr>
          </w:p>
        </w:tc>
        <w:tc>
          <w:tcPr>
            <w:tcW w:w="1301" w:type="dxa"/>
          </w:tcPr>
          <w:p w14:paraId="19269241">
            <w:pPr>
              <w:widowControl/>
              <w:jc w:val="center"/>
              <w:rPr>
                <w:rFonts w:hAnsi="宋体" w:cs="宋体"/>
                <w:color w:val="000000"/>
                <w:szCs w:val="21"/>
                <w:highlight w:val="none"/>
              </w:rPr>
            </w:pPr>
          </w:p>
        </w:tc>
        <w:tc>
          <w:tcPr>
            <w:tcW w:w="1301" w:type="dxa"/>
            <w:vAlign w:val="center"/>
          </w:tcPr>
          <w:p w14:paraId="38D535F6">
            <w:pPr>
              <w:widowControl/>
              <w:jc w:val="center"/>
              <w:rPr>
                <w:rFonts w:hAnsi="宋体" w:cs="宋体"/>
                <w:color w:val="000000"/>
                <w:szCs w:val="21"/>
                <w:highlight w:val="none"/>
              </w:rPr>
            </w:pPr>
          </w:p>
        </w:tc>
      </w:tr>
      <w:tr w14:paraId="047E7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56C70B14">
            <w:pPr>
              <w:widowControl/>
              <w:jc w:val="center"/>
              <w:rPr>
                <w:rFonts w:hAnsi="宋体" w:cs="宋体"/>
                <w:color w:val="000000"/>
                <w:szCs w:val="21"/>
                <w:highlight w:val="none"/>
              </w:rPr>
            </w:pPr>
            <w:r>
              <w:rPr>
                <w:rFonts w:hint="eastAsia" w:hAnsi="宋体" w:cs="宋体"/>
                <w:color w:val="000000"/>
                <w:szCs w:val="21"/>
                <w:highlight w:val="none"/>
              </w:rPr>
              <w:t>二</w:t>
            </w:r>
          </w:p>
        </w:tc>
        <w:tc>
          <w:tcPr>
            <w:tcW w:w="5055" w:type="dxa"/>
            <w:gridSpan w:val="2"/>
            <w:vAlign w:val="center"/>
          </w:tcPr>
          <w:p w14:paraId="449C94A6">
            <w:pPr>
              <w:jc w:val="center"/>
              <w:rPr>
                <w:rFonts w:hAnsi="宋体" w:cs="宋体"/>
                <w:b/>
                <w:bCs/>
                <w:color w:val="000000"/>
                <w:szCs w:val="21"/>
                <w:highlight w:val="none"/>
              </w:rPr>
            </w:pPr>
          </w:p>
        </w:tc>
        <w:tc>
          <w:tcPr>
            <w:tcW w:w="1519" w:type="dxa"/>
            <w:vAlign w:val="center"/>
          </w:tcPr>
          <w:p w14:paraId="3885306E">
            <w:pPr>
              <w:widowControl/>
              <w:jc w:val="center"/>
              <w:rPr>
                <w:rFonts w:hAnsi="宋体" w:cs="宋体"/>
                <w:color w:val="000000"/>
                <w:szCs w:val="21"/>
                <w:highlight w:val="none"/>
              </w:rPr>
            </w:pPr>
          </w:p>
        </w:tc>
        <w:tc>
          <w:tcPr>
            <w:tcW w:w="1301" w:type="dxa"/>
          </w:tcPr>
          <w:p w14:paraId="1FAABDBA">
            <w:pPr>
              <w:widowControl/>
              <w:jc w:val="center"/>
              <w:rPr>
                <w:rFonts w:hAnsi="宋体" w:cs="宋体"/>
                <w:szCs w:val="21"/>
                <w:highlight w:val="none"/>
              </w:rPr>
            </w:pPr>
          </w:p>
        </w:tc>
        <w:tc>
          <w:tcPr>
            <w:tcW w:w="1301" w:type="dxa"/>
            <w:vAlign w:val="center"/>
          </w:tcPr>
          <w:p w14:paraId="49B12D5B">
            <w:pPr>
              <w:widowControl/>
              <w:jc w:val="center"/>
              <w:rPr>
                <w:rFonts w:hAnsi="宋体" w:cs="宋体"/>
                <w:szCs w:val="21"/>
                <w:highlight w:val="none"/>
              </w:rPr>
            </w:pPr>
          </w:p>
        </w:tc>
      </w:tr>
      <w:tr w14:paraId="5C9D48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27990CFD">
            <w:pPr>
              <w:jc w:val="center"/>
              <w:rPr>
                <w:rFonts w:hAnsi="宋体" w:cs="宋体"/>
                <w:color w:val="000000"/>
                <w:szCs w:val="21"/>
                <w:highlight w:val="none"/>
              </w:rPr>
            </w:pPr>
            <w:r>
              <w:rPr>
                <w:rFonts w:hint="eastAsia" w:hAnsi="宋体"/>
                <w:color w:val="000000"/>
                <w:szCs w:val="21"/>
                <w:highlight w:val="none"/>
              </w:rPr>
              <w:t>1</w:t>
            </w:r>
          </w:p>
        </w:tc>
        <w:tc>
          <w:tcPr>
            <w:tcW w:w="3685" w:type="dxa"/>
            <w:vAlign w:val="center"/>
          </w:tcPr>
          <w:p w14:paraId="699889C4">
            <w:pPr>
              <w:jc w:val="center"/>
              <w:rPr>
                <w:rFonts w:hAnsi="宋体" w:cs="宋体"/>
                <w:color w:val="000000"/>
                <w:szCs w:val="21"/>
                <w:highlight w:val="none"/>
              </w:rPr>
            </w:pPr>
          </w:p>
        </w:tc>
        <w:tc>
          <w:tcPr>
            <w:tcW w:w="1370" w:type="dxa"/>
            <w:vAlign w:val="center"/>
          </w:tcPr>
          <w:p w14:paraId="600F6A67">
            <w:pPr>
              <w:widowControl/>
              <w:jc w:val="center"/>
              <w:rPr>
                <w:rFonts w:hAnsi="宋体" w:cs="宋体"/>
                <w:color w:val="000000"/>
                <w:szCs w:val="21"/>
                <w:highlight w:val="none"/>
              </w:rPr>
            </w:pPr>
          </w:p>
        </w:tc>
        <w:tc>
          <w:tcPr>
            <w:tcW w:w="1519" w:type="dxa"/>
            <w:vAlign w:val="center"/>
          </w:tcPr>
          <w:p w14:paraId="3BE43C40">
            <w:pPr>
              <w:jc w:val="center"/>
              <w:rPr>
                <w:rFonts w:hAnsi="宋体" w:cs="宋体"/>
                <w:szCs w:val="21"/>
                <w:highlight w:val="none"/>
              </w:rPr>
            </w:pPr>
          </w:p>
        </w:tc>
        <w:tc>
          <w:tcPr>
            <w:tcW w:w="1301" w:type="dxa"/>
          </w:tcPr>
          <w:p w14:paraId="57D60C11">
            <w:pPr>
              <w:jc w:val="center"/>
              <w:rPr>
                <w:rFonts w:hAnsi="宋体" w:cs="宋体"/>
                <w:szCs w:val="21"/>
                <w:highlight w:val="none"/>
              </w:rPr>
            </w:pPr>
          </w:p>
        </w:tc>
        <w:tc>
          <w:tcPr>
            <w:tcW w:w="1301" w:type="dxa"/>
            <w:vAlign w:val="center"/>
          </w:tcPr>
          <w:p w14:paraId="7263D930">
            <w:pPr>
              <w:jc w:val="center"/>
              <w:rPr>
                <w:rFonts w:hAnsi="宋体" w:cs="宋体"/>
                <w:szCs w:val="21"/>
                <w:highlight w:val="none"/>
              </w:rPr>
            </w:pPr>
          </w:p>
        </w:tc>
      </w:tr>
      <w:tr w14:paraId="2FBC6E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3FE284F6">
            <w:pPr>
              <w:jc w:val="center"/>
              <w:rPr>
                <w:rFonts w:hAnsi="宋体" w:cs="宋体"/>
                <w:color w:val="000000"/>
                <w:szCs w:val="21"/>
                <w:highlight w:val="none"/>
              </w:rPr>
            </w:pPr>
            <w:r>
              <w:rPr>
                <w:rFonts w:hint="eastAsia" w:hAnsi="宋体"/>
                <w:color w:val="000000"/>
                <w:szCs w:val="21"/>
                <w:highlight w:val="none"/>
              </w:rPr>
              <w:t>2</w:t>
            </w:r>
          </w:p>
        </w:tc>
        <w:tc>
          <w:tcPr>
            <w:tcW w:w="3685" w:type="dxa"/>
            <w:vAlign w:val="center"/>
          </w:tcPr>
          <w:p w14:paraId="75E2D47E">
            <w:pPr>
              <w:jc w:val="center"/>
              <w:rPr>
                <w:rFonts w:hAnsi="宋体" w:cs="宋体"/>
                <w:color w:val="000000"/>
                <w:szCs w:val="21"/>
                <w:highlight w:val="none"/>
              </w:rPr>
            </w:pPr>
          </w:p>
        </w:tc>
        <w:tc>
          <w:tcPr>
            <w:tcW w:w="1370" w:type="dxa"/>
            <w:vAlign w:val="center"/>
          </w:tcPr>
          <w:p w14:paraId="51190710">
            <w:pPr>
              <w:widowControl/>
              <w:jc w:val="center"/>
              <w:rPr>
                <w:rFonts w:hAnsi="宋体" w:cs="宋体"/>
                <w:color w:val="000000"/>
                <w:szCs w:val="21"/>
                <w:highlight w:val="none"/>
              </w:rPr>
            </w:pPr>
          </w:p>
        </w:tc>
        <w:tc>
          <w:tcPr>
            <w:tcW w:w="1519" w:type="dxa"/>
            <w:vAlign w:val="center"/>
          </w:tcPr>
          <w:p w14:paraId="3BAEB7CC">
            <w:pPr>
              <w:jc w:val="center"/>
              <w:rPr>
                <w:rFonts w:hAnsi="宋体" w:cs="宋体"/>
                <w:szCs w:val="21"/>
                <w:highlight w:val="none"/>
              </w:rPr>
            </w:pPr>
          </w:p>
        </w:tc>
        <w:tc>
          <w:tcPr>
            <w:tcW w:w="1301" w:type="dxa"/>
          </w:tcPr>
          <w:p w14:paraId="1CE3CD60">
            <w:pPr>
              <w:jc w:val="center"/>
              <w:rPr>
                <w:rFonts w:hAnsi="宋体" w:cs="宋体"/>
                <w:szCs w:val="21"/>
                <w:highlight w:val="none"/>
              </w:rPr>
            </w:pPr>
          </w:p>
        </w:tc>
        <w:tc>
          <w:tcPr>
            <w:tcW w:w="1301" w:type="dxa"/>
            <w:vAlign w:val="center"/>
          </w:tcPr>
          <w:p w14:paraId="077CD70A">
            <w:pPr>
              <w:jc w:val="center"/>
              <w:rPr>
                <w:rFonts w:hAnsi="宋体" w:cs="宋体"/>
                <w:szCs w:val="21"/>
                <w:highlight w:val="none"/>
              </w:rPr>
            </w:pPr>
          </w:p>
        </w:tc>
      </w:tr>
      <w:tr w14:paraId="7D72B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528CF8DC">
            <w:pPr>
              <w:jc w:val="center"/>
              <w:rPr>
                <w:rFonts w:hAnsi="宋体"/>
                <w:color w:val="000000"/>
                <w:szCs w:val="21"/>
                <w:highlight w:val="none"/>
              </w:rPr>
            </w:pPr>
            <w:r>
              <w:rPr>
                <w:rFonts w:hint="eastAsia" w:hAnsi="宋体"/>
                <w:color w:val="000000"/>
                <w:szCs w:val="21"/>
                <w:highlight w:val="none"/>
              </w:rPr>
              <w:t>3</w:t>
            </w:r>
          </w:p>
        </w:tc>
        <w:tc>
          <w:tcPr>
            <w:tcW w:w="3685" w:type="dxa"/>
            <w:vAlign w:val="center"/>
          </w:tcPr>
          <w:p w14:paraId="2271784C">
            <w:pPr>
              <w:jc w:val="center"/>
              <w:rPr>
                <w:rFonts w:hAnsi="宋体"/>
                <w:color w:val="000000"/>
                <w:szCs w:val="21"/>
                <w:highlight w:val="none"/>
              </w:rPr>
            </w:pPr>
          </w:p>
        </w:tc>
        <w:tc>
          <w:tcPr>
            <w:tcW w:w="1370" w:type="dxa"/>
            <w:vAlign w:val="center"/>
          </w:tcPr>
          <w:p w14:paraId="1EC8D231">
            <w:pPr>
              <w:widowControl/>
              <w:jc w:val="center"/>
              <w:rPr>
                <w:rFonts w:hAnsi="宋体" w:cs="宋体"/>
                <w:color w:val="000000"/>
                <w:szCs w:val="21"/>
                <w:highlight w:val="none"/>
              </w:rPr>
            </w:pPr>
          </w:p>
        </w:tc>
        <w:tc>
          <w:tcPr>
            <w:tcW w:w="1519" w:type="dxa"/>
            <w:vAlign w:val="center"/>
          </w:tcPr>
          <w:p w14:paraId="56526DF0">
            <w:pPr>
              <w:jc w:val="center"/>
              <w:rPr>
                <w:rFonts w:hAnsi="宋体"/>
                <w:szCs w:val="21"/>
                <w:highlight w:val="none"/>
              </w:rPr>
            </w:pPr>
          </w:p>
        </w:tc>
        <w:tc>
          <w:tcPr>
            <w:tcW w:w="1301" w:type="dxa"/>
          </w:tcPr>
          <w:p w14:paraId="7ACF596D">
            <w:pPr>
              <w:jc w:val="center"/>
              <w:rPr>
                <w:rFonts w:hAnsi="宋体"/>
                <w:szCs w:val="21"/>
                <w:highlight w:val="none"/>
              </w:rPr>
            </w:pPr>
          </w:p>
        </w:tc>
        <w:tc>
          <w:tcPr>
            <w:tcW w:w="1301" w:type="dxa"/>
            <w:vAlign w:val="center"/>
          </w:tcPr>
          <w:p w14:paraId="3E99AC25">
            <w:pPr>
              <w:jc w:val="center"/>
              <w:rPr>
                <w:rFonts w:hAnsi="宋体"/>
                <w:szCs w:val="21"/>
                <w:highlight w:val="none"/>
              </w:rPr>
            </w:pPr>
          </w:p>
        </w:tc>
      </w:tr>
      <w:tr w14:paraId="7FEE89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674" w:type="dxa"/>
            <w:vAlign w:val="center"/>
          </w:tcPr>
          <w:p w14:paraId="1987C1C5">
            <w:pPr>
              <w:jc w:val="center"/>
              <w:rPr>
                <w:rFonts w:hAnsi="宋体" w:cs="宋体"/>
                <w:color w:val="000000"/>
                <w:szCs w:val="21"/>
                <w:highlight w:val="none"/>
              </w:rPr>
            </w:pPr>
            <w:r>
              <w:rPr>
                <w:rFonts w:hint="eastAsia" w:hAnsi="宋体"/>
                <w:color w:val="000000"/>
                <w:szCs w:val="21"/>
                <w:highlight w:val="none"/>
              </w:rPr>
              <w:t>4</w:t>
            </w:r>
          </w:p>
        </w:tc>
        <w:tc>
          <w:tcPr>
            <w:tcW w:w="3685" w:type="dxa"/>
            <w:vAlign w:val="center"/>
          </w:tcPr>
          <w:p w14:paraId="0B776B80">
            <w:pPr>
              <w:jc w:val="center"/>
              <w:rPr>
                <w:rFonts w:hAnsi="宋体" w:cs="宋体"/>
                <w:color w:val="000000"/>
                <w:szCs w:val="21"/>
                <w:highlight w:val="none"/>
              </w:rPr>
            </w:pPr>
          </w:p>
        </w:tc>
        <w:tc>
          <w:tcPr>
            <w:tcW w:w="1370" w:type="dxa"/>
            <w:vAlign w:val="center"/>
          </w:tcPr>
          <w:p w14:paraId="70298EC1">
            <w:pPr>
              <w:ind w:firstLine="420"/>
              <w:jc w:val="center"/>
              <w:rPr>
                <w:rFonts w:hAnsi="宋体" w:cs="宋体"/>
                <w:color w:val="000000"/>
                <w:szCs w:val="21"/>
                <w:highlight w:val="none"/>
              </w:rPr>
            </w:pPr>
          </w:p>
        </w:tc>
        <w:tc>
          <w:tcPr>
            <w:tcW w:w="1519" w:type="dxa"/>
            <w:vAlign w:val="center"/>
          </w:tcPr>
          <w:p w14:paraId="79C7D9F2">
            <w:pPr>
              <w:jc w:val="center"/>
              <w:rPr>
                <w:rFonts w:hAnsi="宋体" w:cs="宋体"/>
                <w:szCs w:val="21"/>
                <w:highlight w:val="none"/>
              </w:rPr>
            </w:pPr>
          </w:p>
        </w:tc>
        <w:tc>
          <w:tcPr>
            <w:tcW w:w="1301" w:type="dxa"/>
          </w:tcPr>
          <w:p w14:paraId="266E59DB">
            <w:pPr>
              <w:jc w:val="center"/>
              <w:rPr>
                <w:rFonts w:hAnsi="宋体" w:cs="宋体"/>
                <w:szCs w:val="21"/>
                <w:highlight w:val="none"/>
              </w:rPr>
            </w:pPr>
          </w:p>
        </w:tc>
        <w:tc>
          <w:tcPr>
            <w:tcW w:w="1301" w:type="dxa"/>
            <w:vAlign w:val="center"/>
          </w:tcPr>
          <w:p w14:paraId="4A1F5BD2">
            <w:pPr>
              <w:jc w:val="center"/>
              <w:rPr>
                <w:rFonts w:hAnsi="宋体" w:cs="宋体"/>
                <w:szCs w:val="21"/>
                <w:highlight w:val="none"/>
              </w:rPr>
            </w:pPr>
          </w:p>
        </w:tc>
      </w:tr>
      <w:tr w14:paraId="207BC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68C210D3">
            <w:pPr>
              <w:jc w:val="center"/>
              <w:rPr>
                <w:rFonts w:hAnsi="宋体" w:cs="宋体"/>
                <w:color w:val="000000"/>
                <w:szCs w:val="21"/>
                <w:highlight w:val="none"/>
              </w:rPr>
            </w:pPr>
            <w:r>
              <w:rPr>
                <w:rFonts w:hint="eastAsia" w:hAnsi="宋体"/>
                <w:color w:val="000000"/>
                <w:szCs w:val="21"/>
                <w:highlight w:val="none"/>
              </w:rPr>
              <w:t>5</w:t>
            </w:r>
          </w:p>
        </w:tc>
        <w:tc>
          <w:tcPr>
            <w:tcW w:w="3685" w:type="dxa"/>
            <w:vAlign w:val="center"/>
          </w:tcPr>
          <w:p w14:paraId="7C09CFA0">
            <w:pPr>
              <w:jc w:val="center"/>
              <w:rPr>
                <w:rFonts w:hAnsi="宋体" w:cs="宋体"/>
                <w:color w:val="000000"/>
                <w:szCs w:val="21"/>
                <w:highlight w:val="none"/>
              </w:rPr>
            </w:pPr>
          </w:p>
        </w:tc>
        <w:tc>
          <w:tcPr>
            <w:tcW w:w="1370" w:type="dxa"/>
            <w:vAlign w:val="center"/>
          </w:tcPr>
          <w:p w14:paraId="76748ACE">
            <w:pPr>
              <w:jc w:val="center"/>
              <w:rPr>
                <w:rFonts w:hAnsi="宋体" w:cs="宋体"/>
                <w:color w:val="000000"/>
                <w:szCs w:val="21"/>
                <w:highlight w:val="none"/>
              </w:rPr>
            </w:pPr>
          </w:p>
        </w:tc>
        <w:tc>
          <w:tcPr>
            <w:tcW w:w="1519" w:type="dxa"/>
            <w:vAlign w:val="center"/>
          </w:tcPr>
          <w:p w14:paraId="280AA900">
            <w:pPr>
              <w:jc w:val="center"/>
              <w:rPr>
                <w:rFonts w:hAnsi="宋体" w:cs="宋体"/>
                <w:szCs w:val="21"/>
                <w:highlight w:val="none"/>
              </w:rPr>
            </w:pPr>
          </w:p>
        </w:tc>
        <w:tc>
          <w:tcPr>
            <w:tcW w:w="1301" w:type="dxa"/>
          </w:tcPr>
          <w:p w14:paraId="30611FAC">
            <w:pPr>
              <w:jc w:val="center"/>
              <w:rPr>
                <w:rFonts w:hAnsi="宋体" w:cs="宋体"/>
                <w:szCs w:val="21"/>
                <w:highlight w:val="none"/>
              </w:rPr>
            </w:pPr>
          </w:p>
        </w:tc>
        <w:tc>
          <w:tcPr>
            <w:tcW w:w="1301" w:type="dxa"/>
            <w:vAlign w:val="center"/>
          </w:tcPr>
          <w:p w14:paraId="01286CB7">
            <w:pPr>
              <w:jc w:val="center"/>
              <w:rPr>
                <w:rFonts w:hAnsi="宋体" w:cs="宋体"/>
                <w:szCs w:val="21"/>
                <w:highlight w:val="none"/>
              </w:rPr>
            </w:pPr>
          </w:p>
        </w:tc>
      </w:tr>
      <w:tr w14:paraId="4C5874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6BC36283">
            <w:pPr>
              <w:jc w:val="center"/>
              <w:rPr>
                <w:rFonts w:hAnsi="宋体"/>
                <w:szCs w:val="21"/>
                <w:highlight w:val="none"/>
              </w:rPr>
            </w:pPr>
            <w:r>
              <w:rPr>
                <w:rFonts w:hint="eastAsia" w:hAnsi="宋体"/>
                <w:szCs w:val="21"/>
                <w:highlight w:val="none"/>
              </w:rPr>
              <w:t>6</w:t>
            </w:r>
          </w:p>
        </w:tc>
        <w:tc>
          <w:tcPr>
            <w:tcW w:w="3685" w:type="dxa"/>
            <w:vAlign w:val="center"/>
          </w:tcPr>
          <w:p w14:paraId="39040DB7">
            <w:pPr>
              <w:jc w:val="center"/>
              <w:rPr>
                <w:rFonts w:hAnsi="宋体"/>
                <w:szCs w:val="21"/>
                <w:highlight w:val="none"/>
              </w:rPr>
            </w:pPr>
          </w:p>
        </w:tc>
        <w:tc>
          <w:tcPr>
            <w:tcW w:w="1370" w:type="dxa"/>
            <w:vAlign w:val="center"/>
          </w:tcPr>
          <w:p w14:paraId="2A4ABE53">
            <w:pPr>
              <w:jc w:val="center"/>
              <w:rPr>
                <w:rFonts w:hAnsi="宋体" w:cs="Arial"/>
                <w:szCs w:val="21"/>
                <w:highlight w:val="none"/>
              </w:rPr>
            </w:pPr>
          </w:p>
        </w:tc>
        <w:tc>
          <w:tcPr>
            <w:tcW w:w="1519" w:type="dxa"/>
            <w:vAlign w:val="center"/>
          </w:tcPr>
          <w:p w14:paraId="6277902B">
            <w:pPr>
              <w:jc w:val="center"/>
              <w:rPr>
                <w:rFonts w:hAnsi="宋体"/>
                <w:szCs w:val="21"/>
                <w:highlight w:val="none"/>
              </w:rPr>
            </w:pPr>
          </w:p>
        </w:tc>
        <w:tc>
          <w:tcPr>
            <w:tcW w:w="1301" w:type="dxa"/>
          </w:tcPr>
          <w:p w14:paraId="0AA1C790">
            <w:pPr>
              <w:jc w:val="center"/>
              <w:rPr>
                <w:rFonts w:hAnsi="宋体"/>
                <w:szCs w:val="21"/>
                <w:highlight w:val="none"/>
              </w:rPr>
            </w:pPr>
          </w:p>
        </w:tc>
        <w:tc>
          <w:tcPr>
            <w:tcW w:w="1301" w:type="dxa"/>
            <w:vAlign w:val="center"/>
          </w:tcPr>
          <w:p w14:paraId="3FFB4DBF">
            <w:pPr>
              <w:jc w:val="center"/>
              <w:rPr>
                <w:rFonts w:hAnsi="宋体"/>
                <w:szCs w:val="21"/>
                <w:highlight w:val="none"/>
              </w:rPr>
            </w:pPr>
          </w:p>
        </w:tc>
      </w:tr>
      <w:tr w14:paraId="46901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74" w:type="dxa"/>
            <w:vAlign w:val="center"/>
          </w:tcPr>
          <w:p w14:paraId="5BA20E1F">
            <w:pPr>
              <w:jc w:val="center"/>
              <w:rPr>
                <w:rFonts w:hAnsi="宋体"/>
                <w:szCs w:val="21"/>
                <w:highlight w:val="none"/>
              </w:rPr>
            </w:pPr>
            <w:r>
              <w:rPr>
                <w:rFonts w:hint="eastAsia" w:hAnsi="宋体"/>
                <w:szCs w:val="21"/>
                <w:highlight w:val="none"/>
              </w:rPr>
              <w:t>7</w:t>
            </w:r>
          </w:p>
        </w:tc>
        <w:tc>
          <w:tcPr>
            <w:tcW w:w="3685" w:type="dxa"/>
            <w:vAlign w:val="center"/>
          </w:tcPr>
          <w:p w14:paraId="579AA9AC">
            <w:pPr>
              <w:jc w:val="center"/>
              <w:rPr>
                <w:rFonts w:hAnsi="宋体"/>
                <w:szCs w:val="21"/>
                <w:highlight w:val="none"/>
              </w:rPr>
            </w:pPr>
          </w:p>
        </w:tc>
        <w:tc>
          <w:tcPr>
            <w:tcW w:w="1370" w:type="dxa"/>
            <w:vAlign w:val="center"/>
          </w:tcPr>
          <w:p w14:paraId="28ED5C3E">
            <w:pPr>
              <w:jc w:val="center"/>
              <w:rPr>
                <w:rFonts w:hAnsi="宋体" w:cs="Arial"/>
                <w:szCs w:val="21"/>
                <w:highlight w:val="none"/>
              </w:rPr>
            </w:pPr>
          </w:p>
        </w:tc>
        <w:tc>
          <w:tcPr>
            <w:tcW w:w="1519" w:type="dxa"/>
            <w:vAlign w:val="center"/>
          </w:tcPr>
          <w:p w14:paraId="63FA2EBF">
            <w:pPr>
              <w:jc w:val="center"/>
              <w:rPr>
                <w:rFonts w:hAnsi="宋体"/>
                <w:szCs w:val="21"/>
                <w:highlight w:val="none"/>
              </w:rPr>
            </w:pPr>
          </w:p>
        </w:tc>
        <w:tc>
          <w:tcPr>
            <w:tcW w:w="1301" w:type="dxa"/>
          </w:tcPr>
          <w:p w14:paraId="2366F4F9">
            <w:pPr>
              <w:jc w:val="center"/>
              <w:rPr>
                <w:rFonts w:hAnsi="宋体"/>
                <w:szCs w:val="21"/>
                <w:highlight w:val="none"/>
              </w:rPr>
            </w:pPr>
          </w:p>
        </w:tc>
        <w:tc>
          <w:tcPr>
            <w:tcW w:w="1301" w:type="dxa"/>
            <w:vAlign w:val="center"/>
          </w:tcPr>
          <w:p w14:paraId="6D419C5E">
            <w:pPr>
              <w:jc w:val="center"/>
              <w:rPr>
                <w:rFonts w:hAnsi="宋体"/>
                <w:szCs w:val="21"/>
                <w:highlight w:val="none"/>
              </w:rPr>
            </w:pPr>
          </w:p>
        </w:tc>
      </w:tr>
    </w:tbl>
    <w:p w14:paraId="2C8A96A8">
      <w:pPr>
        <w:widowControl/>
        <w:ind w:firstLine="480" w:firstLineChars="200"/>
        <w:jc w:val="left"/>
        <w:rPr>
          <w:rFonts w:asciiTheme="minorEastAsia" w:hAnsiTheme="minorEastAsia" w:eastAsiaTheme="minorEastAsia"/>
          <w:sz w:val="24"/>
          <w:szCs w:val="24"/>
          <w:highlight w:val="none"/>
        </w:rPr>
      </w:pPr>
    </w:p>
    <w:p w14:paraId="5F4E33D4">
      <w:pPr>
        <w:widowControl/>
        <w:ind w:firstLine="480" w:firstLineChars="20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三、技术协议补充如下：</w:t>
      </w:r>
    </w:p>
    <w:p w14:paraId="2F3C9631">
      <w:pPr>
        <w:widowControl/>
        <w:ind w:firstLine="480" w:firstLineChars="200"/>
        <w:jc w:val="left"/>
        <w:rPr>
          <w:rFonts w:asciiTheme="minorEastAsia" w:hAnsiTheme="minorEastAsia" w:eastAsiaTheme="minorEastAsia"/>
          <w:sz w:val="24"/>
          <w:szCs w:val="24"/>
          <w:highlight w:val="none"/>
        </w:rPr>
      </w:pPr>
    </w:p>
    <w:p w14:paraId="084622EE">
      <w:pPr>
        <w:widowControl/>
        <w:ind w:firstLine="480" w:firstLineChars="200"/>
        <w:jc w:val="left"/>
        <w:rPr>
          <w:rFonts w:asciiTheme="minorEastAsia" w:hAnsiTheme="minorEastAsia" w:eastAsiaTheme="minorEastAsia"/>
          <w:sz w:val="24"/>
          <w:szCs w:val="24"/>
          <w:highlight w:val="none"/>
        </w:rPr>
      </w:pPr>
    </w:p>
    <w:p w14:paraId="6A4C98A2">
      <w:pPr>
        <w:widowControl/>
        <w:ind w:firstLine="480" w:firstLineChars="200"/>
        <w:jc w:val="left"/>
        <w:rPr>
          <w:rFonts w:asciiTheme="minorEastAsia" w:hAnsiTheme="minorEastAsia" w:eastAsiaTheme="minorEastAsia"/>
          <w:sz w:val="24"/>
          <w:szCs w:val="24"/>
          <w:highlight w:val="none"/>
        </w:rPr>
      </w:pPr>
    </w:p>
    <w:p w14:paraId="761EDF3D">
      <w:pPr>
        <w:widowControl/>
        <w:ind w:firstLine="480" w:firstLineChars="200"/>
        <w:jc w:val="left"/>
        <w:rPr>
          <w:rFonts w:asciiTheme="minorEastAsia" w:hAnsiTheme="minorEastAsia" w:eastAsiaTheme="minorEastAsia"/>
          <w:sz w:val="24"/>
          <w:szCs w:val="24"/>
          <w:highlight w:val="none"/>
        </w:rPr>
      </w:pPr>
    </w:p>
    <w:p w14:paraId="54612E7D">
      <w:pPr>
        <w:widowControl/>
        <w:ind w:firstLine="480" w:firstLineChars="200"/>
        <w:jc w:val="left"/>
        <w:rPr>
          <w:rFonts w:asciiTheme="minorEastAsia" w:hAnsiTheme="minorEastAsia" w:eastAsiaTheme="minorEastAsia"/>
          <w:sz w:val="24"/>
          <w:szCs w:val="24"/>
          <w:highlight w:val="none"/>
        </w:rPr>
      </w:pPr>
    </w:p>
    <w:p w14:paraId="2DDE3D76">
      <w:pPr>
        <w:widowControl/>
        <w:ind w:firstLine="480" w:firstLineChars="200"/>
        <w:jc w:val="left"/>
        <w:rPr>
          <w:rFonts w:asciiTheme="minorEastAsia" w:hAnsiTheme="minorEastAsia" w:eastAsiaTheme="minorEastAsia"/>
          <w:sz w:val="24"/>
          <w:szCs w:val="24"/>
          <w:highlight w:val="none"/>
        </w:rPr>
      </w:pPr>
    </w:p>
    <w:p w14:paraId="485E62EF">
      <w:pPr>
        <w:widowControl/>
        <w:ind w:firstLine="480" w:firstLineChars="200"/>
        <w:jc w:val="left"/>
        <w:rPr>
          <w:rFonts w:asciiTheme="minorEastAsia" w:hAnsiTheme="minorEastAsia" w:eastAsiaTheme="minorEastAsia"/>
          <w:sz w:val="24"/>
          <w:szCs w:val="24"/>
          <w:highlight w:val="none"/>
        </w:rPr>
      </w:pPr>
    </w:p>
    <w:p w14:paraId="39E42529">
      <w:pPr>
        <w:widowControl/>
        <w:ind w:firstLine="480" w:firstLineChars="200"/>
        <w:jc w:val="left"/>
        <w:rPr>
          <w:rFonts w:asciiTheme="minorEastAsia" w:hAnsiTheme="minorEastAsia" w:eastAsiaTheme="minorEastAsia"/>
          <w:sz w:val="24"/>
          <w:szCs w:val="24"/>
          <w:highlight w:val="none"/>
        </w:rPr>
      </w:pPr>
    </w:p>
    <w:p w14:paraId="5B8F387A">
      <w:pPr>
        <w:widowControl/>
        <w:ind w:firstLine="480" w:firstLineChars="200"/>
        <w:jc w:val="left"/>
        <w:rPr>
          <w:rFonts w:asciiTheme="minorEastAsia" w:hAnsiTheme="minorEastAsia" w:eastAsiaTheme="minorEastAsia"/>
          <w:sz w:val="24"/>
          <w:szCs w:val="24"/>
          <w:highlight w:val="none"/>
        </w:rPr>
      </w:pPr>
    </w:p>
    <w:p w14:paraId="309D1B89">
      <w:pPr>
        <w:widowControl/>
        <w:ind w:firstLine="480" w:firstLineChars="200"/>
        <w:jc w:val="left"/>
        <w:rPr>
          <w:rFonts w:asciiTheme="minorEastAsia" w:hAnsiTheme="minorEastAsia" w:eastAsiaTheme="minorEastAsia"/>
          <w:sz w:val="24"/>
          <w:szCs w:val="24"/>
          <w:highlight w:val="none"/>
        </w:rPr>
      </w:pPr>
    </w:p>
    <w:p w14:paraId="1E48FB1D">
      <w:pPr>
        <w:widowControl/>
        <w:ind w:firstLine="480" w:firstLineChars="200"/>
        <w:jc w:val="left"/>
        <w:rPr>
          <w:rFonts w:asciiTheme="minorEastAsia" w:hAnsiTheme="minorEastAsia" w:eastAsiaTheme="minorEastAsia"/>
          <w:sz w:val="24"/>
          <w:szCs w:val="24"/>
          <w:highlight w:val="none"/>
        </w:rPr>
      </w:pPr>
    </w:p>
    <w:p w14:paraId="0D2003F0">
      <w:pPr>
        <w:pStyle w:val="16"/>
        <w:spacing w:line="360" w:lineRule="auto"/>
        <w:ind w:firstLine="480"/>
        <w:rPr>
          <w:color w:val="auto"/>
          <w:sz w:val="24"/>
          <w:szCs w:val="24"/>
          <w:highlight w:val="none"/>
        </w:rPr>
      </w:pPr>
      <w:r>
        <w:rPr>
          <w:color w:val="auto"/>
          <w:sz w:val="24"/>
          <w:szCs w:val="24"/>
          <w:highlight w:val="none"/>
        </w:rPr>
        <w:t>本协议一式肆份，甲乙双方各执两份，协议在双方签字后开始生效。</w:t>
      </w:r>
    </w:p>
    <w:p w14:paraId="4407DE37">
      <w:pPr>
        <w:spacing w:line="360" w:lineRule="auto"/>
        <w:rPr>
          <w:rFonts w:hAnsi="宋体"/>
          <w:highlight w:val="none"/>
        </w:rPr>
      </w:pPr>
    </w:p>
    <w:p w14:paraId="3D9EEE4C">
      <w:pPr>
        <w:spacing w:line="360" w:lineRule="auto"/>
        <w:rPr>
          <w:highlight w:val="none"/>
        </w:rPr>
      </w:pPr>
      <w:r>
        <w:rPr>
          <w:rFonts w:hAnsi="宋体"/>
          <w:highlight w:val="none"/>
        </w:rPr>
        <w:t>甲方（</w:t>
      </w:r>
      <w:r>
        <w:rPr>
          <w:rFonts w:hint="eastAsia"/>
          <w:highlight w:val="none"/>
        </w:rPr>
        <w:t>南京航空航天大学</w:t>
      </w:r>
      <w:r>
        <w:rPr>
          <w:rFonts w:hAnsi="宋体"/>
          <w:highlight w:val="none"/>
        </w:rPr>
        <w:t>）</w:t>
      </w:r>
      <w:r>
        <w:rPr>
          <w:rFonts w:hint="eastAsia" w:hAnsi="宋体"/>
          <w:highlight w:val="none"/>
        </w:rPr>
        <w:t xml:space="preserve">                    </w:t>
      </w:r>
      <w:r>
        <w:rPr>
          <w:rFonts w:hAnsi="宋体"/>
          <w:highlight w:val="none"/>
        </w:rPr>
        <w:t>乙方（</w:t>
      </w:r>
      <w:r>
        <w:rPr>
          <w:rFonts w:hint="eastAsia" w:hAnsi="宋体"/>
          <w:highlight w:val="none"/>
        </w:rPr>
        <w:t xml:space="preserve">              </w:t>
      </w:r>
      <w:r>
        <w:rPr>
          <w:rFonts w:hAnsi="宋体"/>
          <w:highlight w:val="none"/>
        </w:rPr>
        <w:t>）</w:t>
      </w:r>
      <w:r>
        <w:rPr>
          <w:highlight w:val="none"/>
        </w:rPr>
        <w:br w:type="textWrapping"/>
      </w:r>
      <w:r>
        <w:rPr>
          <w:rFonts w:hAnsi="宋体"/>
          <w:highlight w:val="none"/>
        </w:rPr>
        <w:t>代表（签字）：</w:t>
      </w:r>
      <w:r>
        <w:rPr>
          <w:rFonts w:hint="eastAsia" w:hAnsi="宋体"/>
          <w:highlight w:val="none"/>
        </w:rPr>
        <w:t xml:space="preserve">                               </w:t>
      </w:r>
      <w:r>
        <w:rPr>
          <w:rFonts w:hAnsi="宋体"/>
          <w:highlight w:val="none"/>
        </w:rPr>
        <w:t>代表（签字）：</w:t>
      </w:r>
    </w:p>
    <w:sectPr>
      <w:pgSz w:w="11906" w:h="16838"/>
      <w:pgMar w:top="1361"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C8"/>
    <w:rsid w:val="00002E34"/>
    <w:rsid w:val="00015039"/>
    <w:rsid w:val="000165EB"/>
    <w:rsid w:val="000236C2"/>
    <w:rsid w:val="0002662B"/>
    <w:rsid w:val="00037D04"/>
    <w:rsid w:val="00052853"/>
    <w:rsid w:val="0006718E"/>
    <w:rsid w:val="000728C4"/>
    <w:rsid w:val="000B7788"/>
    <w:rsid w:val="000E568A"/>
    <w:rsid w:val="00107589"/>
    <w:rsid w:val="00107F27"/>
    <w:rsid w:val="00113CB0"/>
    <w:rsid w:val="00124406"/>
    <w:rsid w:val="001459AD"/>
    <w:rsid w:val="00157339"/>
    <w:rsid w:val="0016340E"/>
    <w:rsid w:val="00167D00"/>
    <w:rsid w:val="0017179D"/>
    <w:rsid w:val="00183C9C"/>
    <w:rsid w:val="001B670F"/>
    <w:rsid w:val="001D44F5"/>
    <w:rsid w:val="001D49F0"/>
    <w:rsid w:val="002178B3"/>
    <w:rsid w:val="0022180C"/>
    <w:rsid w:val="00237035"/>
    <w:rsid w:val="00247FF8"/>
    <w:rsid w:val="00267109"/>
    <w:rsid w:val="002707F5"/>
    <w:rsid w:val="002740A1"/>
    <w:rsid w:val="00287D11"/>
    <w:rsid w:val="00293D0F"/>
    <w:rsid w:val="002B02E2"/>
    <w:rsid w:val="002B04E9"/>
    <w:rsid w:val="002B1960"/>
    <w:rsid w:val="002B2ABE"/>
    <w:rsid w:val="002B5D2C"/>
    <w:rsid w:val="002C52B8"/>
    <w:rsid w:val="002C5F25"/>
    <w:rsid w:val="002E4913"/>
    <w:rsid w:val="002E5945"/>
    <w:rsid w:val="00330D4A"/>
    <w:rsid w:val="003437B2"/>
    <w:rsid w:val="00346AC0"/>
    <w:rsid w:val="00357F11"/>
    <w:rsid w:val="00362B64"/>
    <w:rsid w:val="00397424"/>
    <w:rsid w:val="003A1B43"/>
    <w:rsid w:val="003A466A"/>
    <w:rsid w:val="003B2164"/>
    <w:rsid w:val="003C0BB2"/>
    <w:rsid w:val="004049D9"/>
    <w:rsid w:val="00423E9E"/>
    <w:rsid w:val="004271B0"/>
    <w:rsid w:val="0046447E"/>
    <w:rsid w:val="00493C02"/>
    <w:rsid w:val="004A1821"/>
    <w:rsid w:val="004A3890"/>
    <w:rsid w:val="004B3EF6"/>
    <w:rsid w:val="004D2F0E"/>
    <w:rsid w:val="005067B3"/>
    <w:rsid w:val="00512761"/>
    <w:rsid w:val="0052721F"/>
    <w:rsid w:val="00554DD7"/>
    <w:rsid w:val="005627EA"/>
    <w:rsid w:val="00581AC8"/>
    <w:rsid w:val="0059376C"/>
    <w:rsid w:val="005A172B"/>
    <w:rsid w:val="005A273A"/>
    <w:rsid w:val="005B0EB0"/>
    <w:rsid w:val="005B1C95"/>
    <w:rsid w:val="005B6D39"/>
    <w:rsid w:val="005C0CE0"/>
    <w:rsid w:val="005E3962"/>
    <w:rsid w:val="005F03C4"/>
    <w:rsid w:val="005F7CAC"/>
    <w:rsid w:val="005F7EA6"/>
    <w:rsid w:val="00607D46"/>
    <w:rsid w:val="0065263C"/>
    <w:rsid w:val="00660310"/>
    <w:rsid w:val="00660FD5"/>
    <w:rsid w:val="00677198"/>
    <w:rsid w:val="00684546"/>
    <w:rsid w:val="00690D82"/>
    <w:rsid w:val="00694983"/>
    <w:rsid w:val="0069579C"/>
    <w:rsid w:val="006F55E0"/>
    <w:rsid w:val="00720830"/>
    <w:rsid w:val="007350ED"/>
    <w:rsid w:val="007435FE"/>
    <w:rsid w:val="0074693E"/>
    <w:rsid w:val="007661C6"/>
    <w:rsid w:val="0076623F"/>
    <w:rsid w:val="00770704"/>
    <w:rsid w:val="00773E40"/>
    <w:rsid w:val="00775C75"/>
    <w:rsid w:val="00776AF4"/>
    <w:rsid w:val="00794FC2"/>
    <w:rsid w:val="007A2824"/>
    <w:rsid w:val="007C56FB"/>
    <w:rsid w:val="007D4314"/>
    <w:rsid w:val="007D7E0F"/>
    <w:rsid w:val="007E3670"/>
    <w:rsid w:val="007E76BC"/>
    <w:rsid w:val="008166FB"/>
    <w:rsid w:val="00823509"/>
    <w:rsid w:val="00831233"/>
    <w:rsid w:val="00840C75"/>
    <w:rsid w:val="00850449"/>
    <w:rsid w:val="00853E45"/>
    <w:rsid w:val="00863601"/>
    <w:rsid w:val="0088514F"/>
    <w:rsid w:val="008B0787"/>
    <w:rsid w:val="008D6485"/>
    <w:rsid w:val="008E0796"/>
    <w:rsid w:val="008F1F4C"/>
    <w:rsid w:val="00903539"/>
    <w:rsid w:val="00904B8E"/>
    <w:rsid w:val="00913BD5"/>
    <w:rsid w:val="0093076D"/>
    <w:rsid w:val="00932B26"/>
    <w:rsid w:val="009610CF"/>
    <w:rsid w:val="00975663"/>
    <w:rsid w:val="0098214E"/>
    <w:rsid w:val="009A45D5"/>
    <w:rsid w:val="009A5929"/>
    <w:rsid w:val="009F1070"/>
    <w:rsid w:val="00A1043C"/>
    <w:rsid w:val="00A16574"/>
    <w:rsid w:val="00A178CE"/>
    <w:rsid w:val="00A210B7"/>
    <w:rsid w:val="00A740B1"/>
    <w:rsid w:val="00A82DF5"/>
    <w:rsid w:val="00A9399E"/>
    <w:rsid w:val="00AA6809"/>
    <w:rsid w:val="00AB7BA4"/>
    <w:rsid w:val="00AC1793"/>
    <w:rsid w:val="00AC4731"/>
    <w:rsid w:val="00AD3229"/>
    <w:rsid w:val="00AE21A0"/>
    <w:rsid w:val="00B06265"/>
    <w:rsid w:val="00B561D5"/>
    <w:rsid w:val="00B81B08"/>
    <w:rsid w:val="00BA4CB6"/>
    <w:rsid w:val="00BE7494"/>
    <w:rsid w:val="00C10E58"/>
    <w:rsid w:val="00C17CC2"/>
    <w:rsid w:val="00C24B77"/>
    <w:rsid w:val="00C26D9D"/>
    <w:rsid w:val="00C51DD1"/>
    <w:rsid w:val="00C65414"/>
    <w:rsid w:val="00C72B97"/>
    <w:rsid w:val="00C83D03"/>
    <w:rsid w:val="00C85470"/>
    <w:rsid w:val="00C925AB"/>
    <w:rsid w:val="00CB2224"/>
    <w:rsid w:val="00CB42F3"/>
    <w:rsid w:val="00CC2E9D"/>
    <w:rsid w:val="00CD1253"/>
    <w:rsid w:val="00CD7CC8"/>
    <w:rsid w:val="00CE0BCF"/>
    <w:rsid w:val="00CF1094"/>
    <w:rsid w:val="00CF7F5B"/>
    <w:rsid w:val="00D0715B"/>
    <w:rsid w:val="00D1687B"/>
    <w:rsid w:val="00D6208C"/>
    <w:rsid w:val="00DA2D3B"/>
    <w:rsid w:val="00DB681E"/>
    <w:rsid w:val="00DC6225"/>
    <w:rsid w:val="00DE05BE"/>
    <w:rsid w:val="00DE7C2E"/>
    <w:rsid w:val="00DF32F2"/>
    <w:rsid w:val="00DF3414"/>
    <w:rsid w:val="00DF3EDF"/>
    <w:rsid w:val="00DF6B55"/>
    <w:rsid w:val="00E343F5"/>
    <w:rsid w:val="00E34727"/>
    <w:rsid w:val="00E40091"/>
    <w:rsid w:val="00E44FEE"/>
    <w:rsid w:val="00E465F1"/>
    <w:rsid w:val="00E54A37"/>
    <w:rsid w:val="00E56A98"/>
    <w:rsid w:val="00E67E8E"/>
    <w:rsid w:val="00EA2170"/>
    <w:rsid w:val="00EB3D6F"/>
    <w:rsid w:val="00EC4388"/>
    <w:rsid w:val="00EF5282"/>
    <w:rsid w:val="00F0350C"/>
    <w:rsid w:val="00F22851"/>
    <w:rsid w:val="00F23CFA"/>
    <w:rsid w:val="00F361C6"/>
    <w:rsid w:val="00F4145A"/>
    <w:rsid w:val="00F45833"/>
    <w:rsid w:val="00F6312F"/>
    <w:rsid w:val="00F70C7A"/>
    <w:rsid w:val="00FA2A3D"/>
    <w:rsid w:val="00FA48EA"/>
    <w:rsid w:val="00FB38B1"/>
    <w:rsid w:val="00FC38F3"/>
    <w:rsid w:val="2E8102A5"/>
    <w:rsid w:val="74EF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alloon Text"/>
    <w:basedOn w:val="1"/>
    <w:link w:val="18"/>
    <w:semiHidden/>
    <w:unhideWhenUsed/>
    <w:qFormat/>
    <w:uiPriority w:val="99"/>
    <w:rPr>
      <w:rFonts w:ascii="宋体"/>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1 Char"/>
    <w:basedOn w:val="11"/>
    <w:link w:val="2"/>
    <w:qFormat/>
    <w:uiPriority w:val="0"/>
    <w:rPr>
      <w:rFonts w:ascii="Times New Roman" w:hAnsi="Times New Roman" w:eastAsia="宋体" w:cs="Times New Roman"/>
      <w:b/>
      <w:bCs/>
      <w:kern w:val="44"/>
      <w:sz w:val="44"/>
      <w:szCs w:val="44"/>
    </w:rPr>
  </w:style>
  <w:style w:type="character" w:customStyle="1" w:styleId="15">
    <w:name w:val="标题 2 Char"/>
    <w:basedOn w:val="11"/>
    <w:link w:val="3"/>
    <w:semiHidden/>
    <w:qFormat/>
    <w:uiPriority w:val="9"/>
    <w:rPr>
      <w:rFonts w:asciiTheme="majorHAnsi" w:hAnsiTheme="majorHAnsi" w:eastAsiaTheme="majorEastAsia" w:cstheme="majorBidi"/>
      <w:b/>
      <w:bCs/>
      <w:sz w:val="32"/>
      <w:szCs w:val="32"/>
    </w:rPr>
  </w:style>
  <w:style w:type="paragraph" w:customStyle="1" w:styleId="16">
    <w:name w:val="标准文件_标准正文"/>
    <w:basedOn w:val="1"/>
    <w:qFormat/>
    <w:uiPriority w:val="99"/>
    <w:pPr>
      <w:widowControl/>
      <w:adjustRightInd w:val="0"/>
      <w:snapToGrid w:val="0"/>
      <w:spacing w:line="300" w:lineRule="auto"/>
      <w:ind w:firstLine="560" w:firstLineChars="200"/>
      <w:jc w:val="left"/>
    </w:pPr>
    <w:rPr>
      <w:rFonts w:ascii="宋体" w:hAnsi="宋体"/>
      <w:bCs/>
      <w:snapToGrid w:val="0"/>
      <w:color w:val="000000"/>
      <w:kern w:val="0"/>
      <w:sz w:val="28"/>
      <w:szCs w:val="28"/>
    </w:rPr>
  </w:style>
  <w:style w:type="paragraph" w:customStyle="1" w:styleId="17">
    <w:name w:val="标准文件_一级条标题"/>
    <w:basedOn w:val="1"/>
    <w:next w:val="16"/>
    <w:qFormat/>
    <w:uiPriority w:val="0"/>
    <w:pPr>
      <w:widowControl/>
      <w:adjustRightInd w:val="0"/>
      <w:snapToGrid w:val="0"/>
      <w:spacing w:line="300" w:lineRule="auto"/>
      <w:jc w:val="left"/>
      <w:outlineLvl w:val="2"/>
    </w:pPr>
    <w:rPr>
      <w:rFonts w:ascii="黑体" w:hAnsi="宋体" w:eastAsia="黑体"/>
      <w:bCs/>
      <w:color w:val="000000"/>
      <w:spacing w:val="2"/>
      <w:kern w:val="0"/>
      <w:sz w:val="28"/>
      <w:szCs w:val="20"/>
    </w:rPr>
  </w:style>
  <w:style w:type="character" w:customStyle="1" w:styleId="18">
    <w:name w:val="批注框文本 Char"/>
    <w:basedOn w:val="11"/>
    <w:link w:val="5"/>
    <w:semiHidden/>
    <w:qFormat/>
    <w:uiPriority w:val="99"/>
    <w:rPr>
      <w:rFonts w:ascii="宋体" w:hAnsi="Times New Roman" w:eastAsia="宋体" w:cs="Times New Roman"/>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6852</Words>
  <Characters>7150</Characters>
  <Lines>56</Lines>
  <Paragraphs>15</Paragraphs>
  <TotalTime>2</TotalTime>
  <ScaleCrop>false</ScaleCrop>
  <LinksUpToDate>false</LinksUpToDate>
  <CharactersWithSpaces>7626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2020-04-03T09:45:00Z</dcterms:created>
  <dc:creator>Administrator</dc:creator>
  <cp:lastModifiedBy>周金玉</cp:lastModifiedBy>
  <dcterms:modified xsi:type="dcterms:W3CDTF">2025-09-23T07:36:29Z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eyJoZGlkIjoiNTFkZWUyMTZhZDM2NDY5ZTZiNjU0ZThiNTc0YTEyZmIiLCJ1c2VySWQiOiIxNTY1NDU5MDQ5In0=</vt:lpwstr>
  </property>
  <property fmtid="{D5CDD505-2E9C-101B-9397-08002B2CF9AE}" pid="3" name="KSOProductBuildVer">
    <vt:lpwstr>2052-12.1.0.20305</vt:lpwstr>
  </property>
  <property fmtid="{D5CDD505-2E9C-101B-9397-08002B2CF9AE}" pid="4" name="ICV">
    <vt:lpwstr>E90D74471E5C441F87D179484154CF51_13</vt:lpwstr>
  </property>
</Properties>
</file>